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仿宋_GB2312"/>
          <w:szCs w:val="32"/>
        </w:rPr>
      </w:pPr>
      <w:r>
        <w:rPr>
          <w:rFonts w:hint="eastAsia" w:ascii="黑体" w:hAnsi="黑体" w:eastAsia="黑体" w:cs="仿宋_GB2312"/>
          <w:szCs w:val="32"/>
        </w:rPr>
        <w:t>附件5</w:t>
      </w:r>
    </w:p>
    <w:p>
      <w:pPr>
        <w:spacing w:line="540" w:lineRule="exact"/>
        <w:jc w:val="center"/>
        <w:rPr>
          <w:rFonts w:ascii="方正小标宋_GBK" w:hAnsi="Arial" w:eastAsia="方正小标宋_GBK" w:cs="Arial"/>
          <w:sz w:val="44"/>
          <w:szCs w:val="44"/>
        </w:rPr>
      </w:pPr>
      <w:r>
        <w:rPr>
          <w:rFonts w:hint="eastAsia" w:ascii="方正小标宋_GBK" w:hAnsi="Arial" w:eastAsia="方正小标宋_GBK" w:cs="Arial"/>
          <w:sz w:val="44"/>
          <w:szCs w:val="44"/>
        </w:rPr>
        <w:t>部门城乡居民基本医疗保险项目绩效</w:t>
      </w:r>
    </w:p>
    <w:p>
      <w:pPr>
        <w:spacing w:line="540" w:lineRule="exact"/>
        <w:jc w:val="center"/>
        <w:rPr>
          <w:rFonts w:ascii="方正小标宋_GBK" w:hAnsi="Arial" w:eastAsia="方正小标宋_GBK" w:cs="Arial"/>
          <w:sz w:val="44"/>
          <w:szCs w:val="44"/>
        </w:rPr>
      </w:pPr>
      <w:r>
        <w:rPr>
          <w:rFonts w:hint="eastAsia" w:ascii="方正小标宋_GBK" w:hAnsi="Arial" w:eastAsia="方正小标宋_GBK" w:cs="Arial"/>
          <w:sz w:val="44"/>
          <w:szCs w:val="44"/>
        </w:rPr>
        <w:t>评价报告</w:t>
      </w:r>
    </w:p>
    <w:p>
      <w:pPr>
        <w:spacing w:line="540" w:lineRule="exact"/>
        <w:ind w:firstLine="600"/>
        <w:rPr>
          <w:rFonts w:ascii="黑体" w:hAnsi="黑体" w:eastAsia="黑体" w:cs="黑体"/>
          <w:szCs w:val="32"/>
        </w:rPr>
      </w:pPr>
      <w:r>
        <w:rPr>
          <w:rFonts w:hint="eastAsia" w:ascii="黑体" w:hAnsi="黑体" w:eastAsia="黑体" w:cs="黑体"/>
          <w:szCs w:val="32"/>
        </w:rPr>
        <w:t>一、项目基本情况</w:t>
      </w:r>
    </w:p>
    <w:p>
      <w:pPr>
        <w:spacing w:line="540" w:lineRule="exact"/>
        <w:ind w:firstLine="600"/>
        <w:outlineLvl w:val="0"/>
        <w:rPr>
          <w:rFonts w:ascii="仿宋_GB2312" w:hAnsi="仿宋_GB2312" w:cs="仿宋_GB2312"/>
          <w:szCs w:val="32"/>
        </w:rPr>
      </w:pPr>
      <w:r>
        <w:rPr>
          <w:rFonts w:hint="eastAsia" w:ascii="仿宋_GB2312" w:hAnsi="仿宋_GB2312" w:cs="仿宋_GB2312"/>
          <w:szCs w:val="32"/>
        </w:rPr>
        <w:t>（一）项目概况。深化全民医疗体系改革，推进城乡居民医保制度落实</w:t>
      </w:r>
      <w:r>
        <w:rPr>
          <w:rFonts w:hint="eastAsia" w:ascii="宋体" w:hAnsi="宋体" w:eastAsia="宋体" w:cs="宋体"/>
          <w:szCs w:val="32"/>
        </w:rPr>
        <w:t>，</w:t>
      </w:r>
      <w:r>
        <w:rPr>
          <w:rFonts w:hint="eastAsia" w:ascii="仿宋_GB2312" w:hAnsi="仿宋_GB2312" w:cs="仿宋_GB2312"/>
          <w:szCs w:val="32"/>
        </w:rPr>
        <w:t>实现城乡居民公平享有基本医疗保障权益、促进社会公平正义、增进人民</w:t>
      </w:r>
      <w:r>
        <w:rPr>
          <w:rFonts w:hint="eastAsia" w:ascii="仿宋_GB2312" w:hAnsi="仿宋_GB2312" w:cs="仿宋_GB2312"/>
          <w:szCs w:val="32"/>
          <w:lang w:val="en-US" w:eastAsia="zh-CN"/>
        </w:rPr>
        <w:t>福祉</w:t>
      </w:r>
      <w:bookmarkStart w:id="0" w:name="_GoBack"/>
      <w:bookmarkEnd w:id="0"/>
      <w:r>
        <w:rPr>
          <w:rFonts w:hint="eastAsia" w:ascii="仿宋_GB2312" w:hAnsi="仿宋_GB2312" w:cs="仿宋_GB2312"/>
          <w:szCs w:val="32"/>
        </w:rPr>
        <w:t>。通过城乡居民个人缴费与政府补助实现城乡居民医保资金来源主要渠道,保证城乡居民医保保障资金健康运行，切实解决因就医造成致贫现象出现。2022年全县财政共投入城乡居民基本医疗保险项目资金3450.166万元，城乡居民基本医疗保险参保率达到97%,切实为减轻全县城乡居民医药负担提供有效</w:t>
      </w:r>
      <w:r>
        <w:rPr>
          <w:rFonts w:ascii="仿宋_GB2312" w:hAnsi="仿宋_GB2312" w:cs="仿宋_GB2312"/>
          <w:szCs w:val="32"/>
        </w:rPr>
        <w:t>保障。</w:t>
      </w:r>
    </w:p>
    <w:p>
      <w:pPr>
        <w:spacing w:line="540" w:lineRule="exact"/>
        <w:ind w:firstLine="600"/>
        <w:rPr>
          <w:rFonts w:ascii="仿宋_GB2312" w:hAnsi="仿宋_GB2312" w:cs="仿宋_GB2312"/>
          <w:szCs w:val="32"/>
        </w:rPr>
      </w:pPr>
      <w:r>
        <w:rPr>
          <w:rFonts w:hint="eastAsia" w:ascii="仿宋_GB2312" w:hAnsi="仿宋_GB2312" w:cs="仿宋_GB2312"/>
          <w:szCs w:val="32"/>
        </w:rPr>
        <w:t>（二）项目绩效目标。完善统一城乡居民基本医疗保险和大病保险制度，稳定参保率、提高基本医疗保障水平，推动实现保障更加公平、管理更加规范，医疗资源利用更加高效。</w:t>
      </w:r>
    </w:p>
    <w:p>
      <w:pPr>
        <w:spacing w:line="540" w:lineRule="exact"/>
        <w:ind w:firstLine="600"/>
        <w:rPr>
          <w:rFonts w:ascii="黑体" w:hAnsi="黑体" w:eastAsia="黑体" w:cs="黑体"/>
          <w:szCs w:val="32"/>
        </w:rPr>
      </w:pPr>
      <w:r>
        <w:rPr>
          <w:rFonts w:hint="eastAsia" w:ascii="黑体" w:hAnsi="黑体" w:eastAsia="黑体" w:cs="黑体"/>
          <w:szCs w:val="32"/>
        </w:rPr>
        <w:t>二、绩效评价工作开展情况</w:t>
      </w:r>
    </w:p>
    <w:p>
      <w:pPr>
        <w:spacing w:line="540" w:lineRule="exact"/>
        <w:ind w:firstLine="600"/>
        <w:rPr>
          <w:rFonts w:ascii="仿宋_GB2312" w:hAnsi="仿宋_GB2312" w:cs="仿宋_GB2312"/>
          <w:szCs w:val="32"/>
        </w:rPr>
      </w:pPr>
      <w:r>
        <w:rPr>
          <w:rFonts w:hint="eastAsia" w:ascii="仿宋_GB2312" w:hAnsi="仿宋_GB2312" w:cs="仿宋_GB2312"/>
          <w:szCs w:val="32"/>
        </w:rPr>
        <w:t>（一）绩效评价目的、对象和范围。</w:t>
      </w:r>
    </w:p>
    <w:p>
      <w:pPr>
        <w:widowControl/>
        <w:shd w:val="clear" w:color="auto" w:fill="FFFFFF"/>
        <w:spacing w:after="225" w:line="600" w:lineRule="atLeast"/>
        <w:ind w:firstLine="640"/>
        <w:jc w:val="left"/>
        <w:rPr>
          <w:rFonts w:ascii="微软雅黑" w:hAnsi="微软雅黑" w:eastAsia="微软雅黑" w:cs="微软雅黑"/>
          <w:color w:val="3D3D3D"/>
          <w:sz w:val="24"/>
          <w:szCs w:val="24"/>
        </w:rPr>
      </w:pPr>
      <w:r>
        <w:rPr>
          <w:rFonts w:ascii="仿宋_GB2312" w:hAnsi="微软雅黑" w:cs="仿宋_GB2312"/>
          <w:color w:val="3D3D3D"/>
          <w:kern w:val="0"/>
          <w:szCs w:val="32"/>
          <w:shd w:val="clear" w:color="auto" w:fill="FFFFFF"/>
        </w:rPr>
        <w:t>通过绩效评价，掌握</w:t>
      </w:r>
      <w:r>
        <w:rPr>
          <w:rFonts w:hint="eastAsia" w:ascii="仿宋_GB2312" w:hAnsi="微软雅黑" w:cs="仿宋_GB2312"/>
          <w:color w:val="3D3D3D"/>
          <w:kern w:val="0"/>
          <w:szCs w:val="32"/>
          <w:shd w:val="clear" w:color="auto" w:fill="FFFFFF"/>
        </w:rPr>
        <w:t>“2022年度城乡居民基本医疗保险”实施情况和执行效果，查找项目在决策、过程、产出和效益方面存在的问题，分析其产生的原因，提出解决这些问题的建议，总结项目实施的成功经验，为进一步提高财政预算绩效管理水平，优化预算资金安排提供决策依据。</w:t>
      </w:r>
    </w:p>
    <w:p>
      <w:pPr>
        <w:widowControl/>
        <w:shd w:val="clear" w:color="auto" w:fill="FFFFFF"/>
        <w:jc w:val="left"/>
        <w:rPr>
          <w:rFonts w:ascii="仿宋_GB2312" w:hAnsi="仿宋_GB2312" w:cs="仿宋_GB2312"/>
          <w:szCs w:val="32"/>
        </w:rPr>
      </w:pPr>
      <w:r>
        <w:rPr>
          <w:rFonts w:hint="eastAsia" w:ascii="仿宋_GB2312" w:hAnsi="微软雅黑" w:cs="仿宋_GB2312"/>
          <w:color w:val="3D3D3D"/>
          <w:kern w:val="0"/>
          <w:szCs w:val="32"/>
          <w:shd w:val="clear" w:color="auto" w:fill="FFFFFF"/>
        </w:rPr>
        <w:t>完善统一的城乡居民医保制度，按规定缴费比例完成城乡居民医保缴费工作，2022年城乡居民医保参保率达到97%以上，；保障就医报销比例，2022年政策范围内住院费用支付比例达到75%。</w:t>
      </w:r>
    </w:p>
    <w:p>
      <w:pPr>
        <w:numPr>
          <w:ilvl w:val="0"/>
          <w:numId w:val="1"/>
        </w:numPr>
        <w:spacing w:line="540" w:lineRule="exact"/>
        <w:ind w:firstLine="600"/>
        <w:rPr>
          <w:rFonts w:ascii="仿宋_GB2312" w:hAnsi="仿宋_GB2312" w:cs="仿宋_GB2312"/>
          <w:szCs w:val="32"/>
        </w:rPr>
      </w:pPr>
      <w:r>
        <w:rPr>
          <w:rFonts w:hint="eastAsia" w:ascii="仿宋_GB2312" w:hAnsi="仿宋_GB2312" w:cs="仿宋_GB2312"/>
          <w:szCs w:val="32"/>
        </w:rPr>
        <w:t>绩效评价原则、评价指标体系（附表说明）、评价方法、评价标准等。</w:t>
      </w:r>
    </w:p>
    <w:p>
      <w:pPr>
        <w:widowControl/>
        <w:numPr>
          <w:ilvl w:val="0"/>
          <w:numId w:val="2"/>
        </w:numPr>
        <w:shd w:val="clear" w:color="auto" w:fill="FFFFFF"/>
        <w:spacing w:after="225"/>
        <w:jc w:val="left"/>
        <w:rPr>
          <w:rFonts w:ascii="仿宋_GB2312" w:hAnsi="微软雅黑" w:cs="仿宋_GB2312"/>
          <w:color w:val="3D3D3D"/>
          <w:kern w:val="0"/>
          <w:szCs w:val="32"/>
          <w:shd w:val="clear" w:color="auto" w:fill="FFFFFF"/>
        </w:rPr>
      </w:pPr>
      <w:r>
        <w:rPr>
          <w:rFonts w:hint="eastAsia" w:ascii="仿宋_GB2312" w:hAnsi="微软雅黑" w:cs="仿宋_GB2312"/>
          <w:color w:val="3D3D3D"/>
          <w:kern w:val="0"/>
          <w:szCs w:val="32"/>
          <w:shd w:val="clear" w:color="auto" w:fill="FFFFFF"/>
        </w:rPr>
        <w:t>评价原则：</w:t>
      </w:r>
    </w:p>
    <w:p>
      <w:pPr>
        <w:widowControl/>
        <w:shd w:val="clear" w:color="auto" w:fill="FFFFFF"/>
        <w:spacing w:after="225"/>
        <w:ind w:left="640"/>
        <w:jc w:val="left"/>
        <w:rPr>
          <w:rFonts w:ascii="仿宋_GB2312" w:hAnsi="微软雅黑" w:cs="仿宋_GB2312"/>
          <w:color w:val="3D3D3D"/>
          <w:kern w:val="0"/>
          <w:szCs w:val="32"/>
          <w:shd w:val="clear" w:color="auto" w:fill="FFFFFF"/>
        </w:rPr>
      </w:pPr>
      <w:r>
        <w:rPr>
          <w:rFonts w:hint="eastAsia" w:ascii="仿宋_GB2312" w:hAnsi="微软雅黑" w:cs="仿宋_GB2312"/>
          <w:color w:val="3D3D3D"/>
          <w:kern w:val="0"/>
          <w:szCs w:val="32"/>
          <w:shd w:val="clear" w:color="auto" w:fill="FFFFFF"/>
        </w:rPr>
        <w:t>绩效评价坚持科学规范、公正公开、分级分类和绩效相</w:t>
      </w:r>
    </w:p>
    <w:p>
      <w:pPr>
        <w:widowControl/>
        <w:shd w:val="clear" w:color="auto" w:fill="FFFFFF"/>
        <w:jc w:val="left"/>
        <w:rPr>
          <w:rFonts w:ascii="微软雅黑" w:hAnsi="微软雅黑" w:eastAsia="微软雅黑" w:cs="微软雅黑"/>
          <w:color w:val="3D3D3D"/>
          <w:sz w:val="24"/>
          <w:szCs w:val="24"/>
        </w:rPr>
      </w:pPr>
      <w:r>
        <w:rPr>
          <w:rFonts w:hint="eastAsia" w:ascii="仿宋_GB2312" w:hAnsi="微软雅黑" w:cs="仿宋_GB2312"/>
          <w:color w:val="3D3D3D"/>
          <w:kern w:val="0"/>
          <w:szCs w:val="32"/>
          <w:shd w:val="clear" w:color="auto" w:fill="FFFFFF"/>
        </w:rPr>
        <w:t>关的原则。在充分了解项目情况的基础上制定运用科学合理的方法，按照规范的程序，对项目绩效进行客观、公正的反映。</w:t>
      </w:r>
    </w:p>
    <w:p>
      <w:pPr>
        <w:widowControl/>
        <w:numPr>
          <w:ilvl w:val="0"/>
          <w:numId w:val="2"/>
        </w:numPr>
        <w:shd w:val="clear" w:color="auto" w:fill="FFFFFF"/>
        <w:spacing w:after="225"/>
        <w:jc w:val="left"/>
        <w:rPr>
          <w:rFonts w:ascii="仿宋_GB2312" w:hAnsi="微软雅黑" w:cs="仿宋_GB2312"/>
          <w:color w:val="3D3D3D"/>
          <w:kern w:val="0"/>
          <w:szCs w:val="32"/>
          <w:shd w:val="clear" w:color="auto" w:fill="FFFFFF"/>
        </w:rPr>
      </w:pPr>
      <w:r>
        <w:rPr>
          <w:rFonts w:hint="eastAsia" w:ascii="仿宋_GB2312" w:hAnsi="微软雅黑" w:cs="仿宋_GB2312"/>
          <w:color w:val="3D3D3D"/>
          <w:kern w:val="0"/>
          <w:szCs w:val="32"/>
          <w:shd w:val="clear" w:color="auto" w:fill="FFFFFF"/>
        </w:rPr>
        <w:t>评价主要指标体系：</w:t>
      </w:r>
    </w:p>
    <w:p>
      <w:pPr>
        <w:widowControl/>
        <w:shd w:val="clear" w:color="auto" w:fill="FFFFFF"/>
        <w:spacing w:after="225"/>
        <w:jc w:val="left"/>
        <w:rPr>
          <w:rFonts w:ascii="仿宋_GB2312" w:hAnsi="微软雅黑" w:cs="仿宋_GB2312"/>
          <w:color w:val="3D3D3D"/>
          <w:kern w:val="0"/>
          <w:szCs w:val="32"/>
          <w:shd w:val="clear" w:color="auto" w:fill="FFFFFF"/>
        </w:rPr>
      </w:pPr>
      <w:r>
        <w:rPr>
          <w:rFonts w:hint="eastAsia" w:ascii="仿宋_GB2312" w:hAnsi="微软雅黑" w:cs="仿宋_GB2312"/>
          <w:color w:val="3D3D3D"/>
          <w:kern w:val="0"/>
          <w:szCs w:val="32"/>
          <w:shd w:val="clear" w:color="auto" w:fill="FFFFFF"/>
        </w:rPr>
        <w:t xml:space="preserve">     设置一级指标体系3个、二级指标体系7个、三级指标体系7个，其中定性指标3个、定量指标4个。</w:t>
      </w:r>
    </w:p>
    <w:p>
      <w:pPr>
        <w:pStyle w:val="5"/>
        <w:widowControl/>
        <w:spacing w:line="21" w:lineRule="atLeast"/>
        <w:ind w:left="-225" w:right="-225" w:firstLine="600"/>
        <w:rPr>
          <w:rFonts w:ascii="仿宋_GB2312" w:hAnsi="仿宋"/>
          <w:color w:val="000000" w:themeColor="text1"/>
          <w:kern w:val="2"/>
          <w:sz w:val="32"/>
          <w:szCs w:val="32"/>
        </w:rPr>
      </w:pPr>
      <w:r>
        <w:rPr>
          <w:rFonts w:hint="eastAsia" w:ascii="仿宋_GB2312" w:hAnsi="微软雅黑" w:cs="仿宋_GB2312"/>
          <w:color w:val="3D3D3D"/>
          <w:sz w:val="32"/>
          <w:szCs w:val="32"/>
          <w:shd w:val="clear" w:color="auto" w:fill="FFFFFF"/>
        </w:rPr>
        <w:t>（3）评价方法：</w:t>
      </w:r>
      <w:r>
        <w:rPr>
          <w:rFonts w:hint="eastAsia" w:ascii="仿宋_GB2312" w:hAnsi="仿宋"/>
          <w:color w:val="000000" w:themeColor="text1"/>
          <w:kern w:val="2"/>
          <w:sz w:val="32"/>
          <w:szCs w:val="32"/>
        </w:rPr>
        <w:t>采取材料核实、选点抽查、访谈座谈、调阅审计反馈材料等方式，对收集的基础材料严格核实分析，根据绩效评进行价设定的指标进行分析评价。</w:t>
      </w:r>
    </w:p>
    <w:p>
      <w:pPr>
        <w:widowControl/>
        <w:shd w:val="clear" w:color="auto" w:fill="FFFFFF"/>
        <w:spacing w:after="225" w:line="560" w:lineRule="atLeast"/>
        <w:ind w:firstLine="640" w:firstLineChars="200"/>
        <w:jc w:val="left"/>
        <w:rPr>
          <w:rFonts w:ascii="微软雅黑" w:hAnsi="微软雅黑" w:eastAsia="微软雅黑" w:cs="微软雅黑"/>
          <w:color w:val="3D3D3D"/>
          <w:sz w:val="24"/>
          <w:szCs w:val="24"/>
        </w:rPr>
      </w:pPr>
      <w:r>
        <w:rPr>
          <w:rFonts w:hint="eastAsia" w:ascii="仿宋_GB2312" w:hAnsi="微软雅黑" w:cs="仿宋_GB2312"/>
          <w:color w:val="3D3D3D"/>
          <w:kern w:val="0"/>
          <w:szCs w:val="32"/>
          <w:shd w:val="clear" w:color="auto" w:fill="FFFFFF"/>
        </w:rPr>
        <w:t>（4）评价标准：采用的标准形式为计划标准和历史标准。</w:t>
      </w:r>
    </w:p>
    <w:p>
      <w:pPr>
        <w:spacing w:line="540" w:lineRule="exact"/>
        <w:ind w:firstLine="320" w:firstLineChars="100"/>
        <w:rPr>
          <w:rFonts w:ascii="仿宋_GB2312" w:hAnsi="仿宋_GB2312" w:cs="仿宋_GB2312"/>
          <w:szCs w:val="32"/>
        </w:rPr>
      </w:pPr>
      <w:r>
        <w:rPr>
          <w:rFonts w:hint="eastAsia" w:ascii="仿宋_GB2312" w:hAnsi="仿宋_GB2312" w:cs="仿宋_GB2312"/>
          <w:szCs w:val="32"/>
        </w:rPr>
        <w:t>（三）绩效评价工作过程。</w:t>
      </w:r>
    </w:p>
    <w:p>
      <w:pPr>
        <w:tabs>
          <w:tab w:val="left" w:pos="500"/>
        </w:tabs>
        <w:spacing w:line="560" w:lineRule="exact"/>
        <w:ind w:left="645"/>
        <w:rPr>
          <w:rFonts w:hint="eastAsia" w:ascii="仿宋_GB2312" w:hAnsi="仿宋"/>
          <w:color w:val="000000" w:themeColor="text1"/>
          <w:szCs w:val="32"/>
        </w:rPr>
      </w:pPr>
      <w:r>
        <w:rPr>
          <w:rFonts w:hint="eastAsia" w:ascii="仿宋_GB2312" w:hAnsi="仿宋"/>
          <w:color w:val="000000" w:themeColor="text1"/>
          <w:szCs w:val="32"/>
        </w:rPr>
        <w:t>成立绩效评价工作组，确定绩效评价对象，对参与绩效</w:t>
      </w:r>
    </w:p>
    <w:p>
      <w:pPr>
        <w:tabs>
          <w:tab w:val="left" w:pos="500"/>
        </w:tabs>
        <w:spacing w:line="560" w:lineRule="exact"/>
        <w:rPr>
          <w:rFonts w:ascii="仿宋_GB2312" w:hAnsi="仿宋"/>
          <w:color w:val="000000" w:themeColor="text1"/>
          <w:szCs w:val="32"/>
        </w:rPr>
      </w:pPr>
      <w:r>
        <w:rPr>
          <w:rFonts w:hint="eastAsia" w:ascii="仿宋_GB2312" w:hAnsi="仿宋"/>
          <w:color w:val="000000" w:themeColor="text1"/>
          <w:szCs w:val="32"/>
        </w:rPr>
        <w:t>评价人员进行培训，学习评价方案，了解绩效评价指标及相关城乡医疗救助政策。检查医疗救助材料，对被救助人员资格及救助金额进行审核，进行项目综合分析与评价。根据项目绩效评价表撰写绩效评价自评报告</w:t>
      </w:r>
      <w:r>
        <w:rPr>
          <w:rFonts w:hint="eastAsia" w:ascii="仿宋_GB2312" w:hAnsi="微软雅黑" w:cs="仿宋_GB2312"/>
          <w:color w:val="3D3D3D"/>
          <w:kern w:val="0"/>
          <w:szCs w:val="32"/>
          <w:shd w:val="clear" w:color="auto" w:fill="FFFFFF"/>
        </w:rPr>
        <w:t>。</w:t>
      </w:r>
    </w:p>
    <w:p>
      <w:pPr>
        <w:pStyle w:val="10"/>
        <w:numPr>
          <w:ilvl w:val="0"/>
          <w:numId w:val="3"/>
        </w:numPr>
        <w:spacing w:line="540" w:lineRule="exact"/>
        <w:ind w:firstLineChars="0"/>
        <w:rPr>
          <w:rFonts w:ascii="仿宋_GB2312" w:hAnsi="仿宋_GB2312" w:cs="仿宋_GB2312"/>
          <w:szCs w:val="32"/>
        </w:rPr>
      </w:pPr>
      <w:r>
        <w:rPr>
          <w:rFonts w:hint="eastAsia" w:ascii="黑体" w:hAnsi="黑体" w:eastAsia="黑体" w:cs="黑体"/>
          <w:szCs w:val="32"/>
        </w:rPr>
        <w:t>综合评价情况及评价结论</w:t>
      </w:r>
      <w:r>
        <w:rPr>
          <w:rFonts w:hint="eastAsia" w:ascii="仿宋_GB2312" w:hAnsi="仿宋_GB2312" w:cs="仿宋_GB2312"/>
          <w:szCs w:val="32"/>
        </w:rPr>
        <w:t>（附相关评分表）</w:t>
      </w:r>
    </w:p>
    <w:p>
      <w:pPr>
        <w:widowControl/>
        <w:shd w:val="clear" w:color="auto" w:fill="FFFFFF"/>
        <w:spacing w:after="225" w:line="660" w:lineRule="atLeast"/>
        <w:ind w:firstLine="640"/>
        <w:jc w:val="left"/>
        <w:rPr>
          <w:rFonts w:ascii="微软雅黑" w:hAnsi="微软雅黑" w:eastAsia="微软雅黑" w:cs="微软雅黑"/>
          <w:color w:val="3D3D3D"/>
          <w:sz w:val="24"/>
          <w:szCs w:val="24"/>
        </w:rPr>
      </w:pPr>
      <w:r>
        <w:rPr>
          <w:rFonts w:ascii="仿宋_GB2312" w:hAnsi="微软雅黑" w:cs="仿宋_GB2312"/>
          <w:color w:val="3D3D3D"/>
          <w:kern w:val="0"/>
          <w:szCs w:val="32"/>
          <w:shd w:val="clear" w:color="auto" w:fill="FFFFFF"/>
        </w:rPr>
        <w:t>此次绩效评价在充分了解有关项目政策，初步掌握项目实施基本情况的基础上，通过查阅资料、座谈交流、现场勘察、综合分析等方式，定量评价与定性评价相结合，分析</w:t>
      </w:r>
      <w:r>
        <w:rPr>
          <w:rFonts w:hint="eastAsia" w:ascii="仿宋_GB2312" w:hAnsi="微软雅黑" w:cs="仿宋_GB2312"/>
          <w:color w:val="3D3D3D"/>
          <w:kern w:val="0"/>
          <w:szCs w:val="32"/>
          <w:shd w:val="clear" w:color="auto" w:fill="FFFFFF"/>
        </w:rPr>
        <w:t> “2022年度城乡居民基本医疗保险”项目实施情况和项目效益。</w:t>
      </w:r>
    </w:p>
    <w:p>
      <w:pPr>
        <w:widowControl/>
        <w:shd w:val="clear" w:color="auto" w:fill="FFFFFF"/>
        <w:spacing w:after="225" w:line="560" w:lineRule="atLeast"/>
        <w:ind w:firstLine="640"/>
        <w:jc w:val="left"/>
        <w:rPr>
          <w:rFonts w:ascii="仿宋_GB2312" w:hAnsi="仿宋_GB2312" w:cs="仿宋_GB2312"/>
          <w:szCs w:val="32"/>
        </w:rPr>
      </w:pPr>
      <w:r>
        <w:rPr>
          <w:rFonts w:hint="eastAsia" w:ascii="仿宋_GB2312" w:hAnsi="微软雅黑" w:cs="仿宋_GB2312"/>
          <w:color w:val="3D3D3D"/>
          <w:kern w:val="0"/>
          <w:szCs w:val="32"/>
          <w:shd w:val="clear" w:color="auto" w:fill="FFFFFF"/>
        </w:rPr>
        <w:t>经过审慎评价， “2022年度城乡居民基本医疗保险”项目绩效总得分为99.42分，评价结果为“优”。</w:t>
      </w:r>
    </w:p>
    <w:p>
      <w:pPr>
        <w:spacing w:line="540" w:lineRule="exact"/>
        <w:ind w:firstLine="600"/>
        <w:rPr>
          <w:rFonts w:ascii="黑体" w:hAnsi="黑体" w:eastAsia="黑体" w:cs="黑体"/>
          <w:szCs w:val="32"/>
        </w:rPr>
      </w:pPr>
      <w:r>
        <w:rPr>
          <w:rFonts w:hint="eastAsia" w:ascii="黑体" w:hAnsi="黑体" w:eastAsia="黑体" w:cs="黑体"/>
          <w:szCs w:val="32"/>
        </w:rPr>
        <w:t>五、绩效评价指标分析</w:t>
      </w:r>
      <w:r>
        <w:rPr>
          <w:rFonts w:hint="eastAsia" w:ascii="仿宋_GB2312" w:hAnsi="黑体" w:cs="黑体"/>
          <w:szCs w:val="32"/>
        </w:rPr>
        <w:t>（可附表进行分析）</w:t>
      </w:r>
    </w:p>
    <w:p>
      <w:pPr>
        <w:spacing w:line="540" w:lineRule="exact"/>
        <w:ind w:firstLine="600"/>
        <w:outlineLvl w:val="0"/>
        <w:rPr>
          <w:rFonts w:hint="eastAsia" w:ascii="仿宋_GB2312" w:hAnsi="仿宋_GB2312" w:cs="仿宋_GB2312"/>
          <w:szCs w:val="32"/>
        </w:rPr>
      </w:pPr>
      <w:r>
        <w:rPr>
          <w:rFonts w:hint="eastAsia" w:ascii="仿宋_GB2312" w:hAnsi="仿宋_GB2312" w:cs="仿宋_GB2312"/>
          <w:szCs w:val="32"/>
        </w:rPr>
        <w:t>（一）项目决策情况。</w:t>
      </w:r>
    </w:p>
    <w:p>
      <w:pPr>
        <w:tabs>
          <w:tab w:val="left" w:pos="500"/>
        </w:tabs>
        <w:spacing w:line="560" w:lineRule="exact"/>
        <w:ind w:firstLine="640" w:firstLineChars="200"/>
        <w:rPr>
          <w:rFonts w:hint="eastAsia" w:ascii="仿宋_GB2312" w:hAnsi="仿宋"/>
          <w:color w:val="000000" w:themeColor="text1"/>
          <w:szCs w:val="32"/>
        </w:rPr>
      </w:pPr>
      <w:r>
        <w:rPr>
          <w:rFonts w:hint="eastAsia" w:ascii="仿宋_GB2312" w:hAnsi="仿宋"/>
          <w:color w:val="000000" w:themeColor="text1"/>
          <w:szCs w:val="32"/>
        </w:rPr>
        <w:t>执行预算绩效管理和资金管理严格以《国家医疗保障局关于全面实施预算绩效管理的意见》（医保办发〔2019〕25号）、《项目支出绩效评价管理办法》等有关规定为依据。</w:t>
      </w:r>
    </w:p>
    <w:p>
      <w:pPr>
        <w:pStyle w:val="10"/>
        <w:numPr>
          <w:ilvl w:val="0"/>
          <w:numId w:val="4"/>
        </w:numPr>
        <w:tabs>
          <w:tab w:val="left" w:pos="500"/>
        </w:tabs>
        <w:spacing w:line="560" w:lineRule="exact"/>
        <w:ind w:firstLineChars="0"/>
        <w:rPr>
          <w:rFonts w:ascii="仿宋_GB2312" w:hAnsi="仿宋"/>
          <w:color w:val="000000" w:themeColor="text1"/>
          <w:szCs w:val="32"/>
        </w:rPr>
      </w:pPr>
      <w:r>
        <w:rPr>
          <w:rFonts w:hint="eastAsia" w:ascii="仿宋_GB2312" w:hAnsi="仿宋_GB2312" w:cs="仿宋_GB2312"/>
          <w:szCs w:val="32"/>
        </w:rPr>
        <w:t xml:space="preserve"> 项目过程情况。</w:t>
      </w:r>
    </w:p>
    <w:p>
      <w:pPr>
        <w:tabs>
          <w:tab w:val="left" w:pos="500"/>
        </w:tabs>
        <w:spacing w:line="560" w:lineRule="exact"/>
        <w:ind w:left="790"/>
        <w:rPr>
          <w:rFonts w:hint="eastAsia" w:ascii="仿宋_GB2312" w:hAnsi="仿宋"/>
          <w:color w:val="000000" w:themeColor="text1"/>
          <w:szCs w:val="32"/>
        </w:rPr>
      </w:pPr>
      <w:r>
        <w:rPr>
          <w:rFonts w:hint="eastAsia" w:ascii="仿宋_GB2312" w:hAnsi="仿宋"/>
          <w:color w:val="000000" w:themeColor="text1"/>
          <w:szCs w:val="32"/>
        </w:rPr>
        <w:t>决策程序规范合规完整，资金分配按规定履行报批程</w:t>
      </w:r>
    </w:p>
    <w:p>
      <w:pPr>
        <w:tabs>
          <w:tab w:val="left" w:pos="500"/>
        </w:tabs>
        <w:spacing w:line="560" w:lineRule="exact"/>
        <w:rPr>
          <w:rFonts w:ascii="仿宋_GB2312" w:hAnsi="仿宋"/>
          <w:color w:val="000000" w:themeColor="text1"/>
          <w:szCs w:val="32"/>
        </w:rPr>
      </w:pPr>
      <w:r>
        <w:rPr>
          <w:rFonts w:hint="eastAsia" w:ascii="仿宋_GB2312" w:hAnsi="仿宋"/>
          <w:color w:val="000000" w:themeColor="text1"/>
          <w:szCs w:val="32"/>
        </w:rPr>
        <w:t xml:space="preserve">序，审批文件和手续齐全，财政部门下达预算指标的同时明确绩效目标。 </w:t>
      </w:r>
    </w:p>
    <w:p>
      <w:pPr>
        <w:spacing w:line="540" w:lineRule="exact"/>
        <w:ind w:left="600"/>
        <w:outlineLvl w:val="0"/>
        <w:rPr>
          <w:rFonts w:ascii="仿宋_GB2312" w:hAnsi="仿宋_GB2312" w:cs="仿宋_GB2312"/>
          <w:szCs w:val="32"/>
        </w:rPr>
      </w:pPr>
    </w:p>
    <w:p>
      <w:pPr>
        <w:numPr>
          <w:ilvl w:val="0"/>
          <w:numId w:val="1"/>
        </w:numPr>
        <w:spacing w:line="540" w:lineRule="exact"/>
        <w:ind w:firstLine="600"/>
        <w:outlineLvl w:val="0"/>
        <w:rPr>
          <w:rFonts w:ascii="仿宋_GB2312" w:hAnsi="仿宋_GB2312" w:cs="仿宋_GB2312"/>
          <w:szCs w:val="32"/>
        </w:rPr>
      </w:pPr>
      <w:r>
        <w:rPr>
          <w:rFonts w:hint="eastAsia" w:ascii="仿宋_GB2312" w:hAnsi="仿宋_GB2312" w:cs="仿宋_GB2312"/>
          <w:szCs w:val="32"/>
        </w:rPr>
        <w:t>项目产出情况。</w:t>
      </w:r>
    </w:p>
    <w:p>
      <w:pPr>
        <w:spacing w:line="540" w:lineRule="exact"/>
        <w:ind w:left="600"/>
        <w:outlineLvl w:val="0"/>
        <w:rPr>
          <w:rFonts w:ascii="仿宋_GB2312" w:hAnsi="仿宋_GB2312" w:cs="仿宋_GB2312"/>
          <w:szCs w:val="32"/>
        </w:rPr>
      </w:pPr>
      <w:r>
        <w:rPr>
          <w:rFonts w:hint="eastAsia" w:ascii="仿宋_GB2312" w:hAnsi="仿宋_GB2312" w:cs="仿宋_GB2312"/>
          <w:szCs w:val="32"/>
        </w:rPr>
        <w:t xml:space="preserve">  1、数量指标</w:t>
      </w:r>
    </w:p>
    <w:p>
      <w:pPr>
        <w:spacing w:line="540" w:lineRule="exact"/>
        <w:ind w:left="600"/>
        <w:outlineLvl w:val="0"/>
        <w:rPr>
          <w:rFonts w:hint="eastAsia" w:ascii="仿宋_GB2312" w:hAnsi="仿宋_GB2312" w:cs="仿宋_GB2312"/>
          <w:szCs w:val="32"/>
        </w:rPr>
      </w:pPr>
      <w:r>
        <w:rPr>
          <w:rFonts w:hint="eastAsia" w:ascii="仿宋_GB2312" w:hAnsi="仿宋_GB2312" w:cs="仿宋_GB2312"/>
          <w:szCs w:val="32"/>
        </w:rPr>
        <w:t>该项目城乡居民应参保人数 58.23万人，实际参保</w:t>
      </w:r>
    </w:p>
    <w:p>
      <w:pPr>
        <w:spacing w:line="540" w:lineRule="exact"/>
        <w:outlineLvl w:val="0"/>
        <w:rPr>
          <w:rFonts w:ascii="仿宋_GB2312" w:hAnsi="仿宋_GB2312" w:cs="仿宋_GB2312"/>
          <w:szCs w:val="32"/>
        </w:rPr>
      </w:pPr>
      <w:r>
        <w:rPr>
          <w:rFonts w:hint="eastAsia" w:ascii="仿宋_GB2312" w:hAnsi="仿宋_GB2312" w:cs="仿宋_GB2312"/>
          <w:szCs w:val="32"/>
        </w:rPr>
        <w:t>56.6856万人，参保率 97.35 %，支付城乡居民医疗保险补助资金3450.166万元。</w:t>
      </w:r>
    </w:p>
    <w:p>
      <w:pPr>
        <w:spacing w:line="540" w:lineRule="exact"/>
        <w:ind w:left="602" w:leftChars="188" w:firstLine="160" w:firstLineChars="50"/>
        <w:outlineLvl w:val="0"/>
        <w:rPr>
          <w:rFonts w:ascii="仿宋_GB2312" w:hAnsi="仿宋_GB2312" w:cs="仿宋_GB2312"/>
          <w:szCs w:val="32"/>
        </w:rPr>
      </w:pPr>
      <w:r>
        <w:rPr>
          <w:rFonts w:hint="eastAsia" w:ascii="仿宋_GB2312" w:hAnsi="仿宋_GB2312" w:cs="仿宋_GB2312"/>
          <w:szCs w:val="32"/>
        </w:rPr>
        <w:t>2、质量指标</w:t>
      </w:r>
    </w:p>
    <w:p>
      <w:pPr>
        <w:tabs>
          <w:tab w:val="left" w:pos="500"/>
        </w:tabs>
        <w:spacing w:line="560" w:lineRule="exact"/>
        <w:ind w:firstLine="645"/>
        <w:rPr>
          <w:rFonts w:ascii="仿宋_GB2312" w:hAnsi="仿宋"/>
          <w:color w:val="000000" w:themeColor="text1"/>
          <w:szCs w:val="32"/>
        </w:rPr>
      </w:pPr>
      <w:r>
        <w:rPr>
          <w:rFonts w:hint="eastAsia" w:ascii="仿宋_GB2312" w:hAnsi="仿宋"/>
          <w:color w:val="000000" w:themeColor="text1"/>
          <w:szCs w:val="32"/>
        </w:rPr>
        <w:t>落实医保报销政策，探索DRG支付模式，按规定进行城乡居民</w:t>
      </w:r>
      <w:r>
        <w:rPr>
          <w:rFonts w:hint="eastAsia" w:ascii="宋体" w:hAnsi="宋体" w:eastAsia="宋体" w:cs="宋体"/>
          <w:color w:val="000000" w:themeColor="text1"/>
          <w:szCs w:val="32"/>
        </w:rPr>
        <w:t>医保分类业务办理，2022年政策范围内住院费用补偿比例达到 75%,严格落实城乡居民医保政策范围内的报销规定</w:t>
      </w:r>
      <w:r>
        <w:rPr>
          <w:rFonts w:hint="eastAsia" w:ascii="仿宋_GB2312" w:hAnsi="仿宋"/>
          <w:color w:val="000000" w:themeColor="text1"/>
          <w:szCs w:val="32"/>
        </w:rPr>
        <w:t>。</w:t>
      </w:r>
    </w:p>
    <w:p>
      <w:pPr>
        <w:spacing w:line="540" w:lineRule="exact"/>
        <w:ind w:left="602" w:leftChars="188" w:firstLine="160" w:firstLineChars="50"/>
        <w:outlineLvl w:val="0"/>
        <w:rPr>
          <w:rFonts w:ascii="仿宋_GB2312" w:hAnsi="仿宋_GB2312" w:cs="仿宋_GB2312"/>
          <w:szCs w:val="32"/>
        </w:rPr>
      </w:pPr>
      <w:r>
        <w:rPr>
          <w:rFonts w:hint="eastAsia" w:ascii="仿宋_GB2312" w:hAnsi="仿宋_GB2312" w:cs="仿宋_GB2312"/>
          <w:szCs w:val="32"/>
        </w:rPr>
        <w:t>3、成本指标</w:t>
      </w:r>
    </w:p>
    <w:p>
      <w:pPr>
        <w:spacing w:line="540" w:lineRule="exact"/>
        <w:ind w:firstLine="640" w:firstLineChars="200"/>
        <w:outlineLvl w:val="0"/>
        <w:rPr>
          <w:rFonts w:ascii="仿宋_GB2312" w:hAnsi="仿宋_GB2312" w:cs="仿宋_GB2312"/>
          <w:szCs w:val="32"/>
        </w:rPr>
      </w:pPr>
      <w:r>
        <w:rPr>
          <w:rFonts w:hint="eastAsia" w:ascii="仿宋_GB2312" w:hAnsi="仿宋_GB2312" w:cs="仿宋_GB2312"/>
          <w:szCs w:val="32"/>
        </w:rPr>
        <w:t>该项目2022年城乡居民基本医疗保险预算3586.8万元，实际城乡居民基本医疗保险补助支出</w:t>
      </w:r>
      <w:r>
        <w:rPr>
          <w:rFonts w:ascii="仿宋_GB2312" w:hAnsi="仿宋_GB2312" w:cs="仿宋_GB2312"/>
          <w:szCs w:val="32"/>
        </w:rPr>
        <w:t>3450.166万元，保证所有城乡居民参保人员财政配套缴费需求，成本指标金额指标准确。</w:t>
      </w:r>
    </w:p>
    <w:p>
      <w:pPr>
        <w:spacing w:line="540" w:lineRule="exact"/>
        <w:ind w:firstLine="960" w:firstLineChars="300"/>
        <w:outlineLvl w:val="0"/>
        <w:rPr>
          <w:rFonts w:ascii="仿宋_GB2312" w:hAnsi="仿宋_GB2312" w:cs="仿宋_GB2312"/>
          <w:szCs w:val="32"/>
        </w:rPr>
      </w:pPr>
      <w:r>
        <w:rPr>
          <w:rFonts w:hint="eastAsia" w:ascii="仿宋_GB2312" w:hAnsi="仿宋_GB2312" w:cs="仿宋_GB2312"/>
          <w:szCs w:val="32"/>
        </w:rPr>
        <w:t>4、时效指标：</w:t>
      </w:r>
    </w:p>
    <w:p>
      <w:pPr>
        <w:spacing w:line="540" w:lineRule="exact"/>
        <w:ind w:firstLine="640" w:firstLineChars="200"/>
        <w:outlineLvl w:val="0"/>
        <w:rPr>
          <w:rFonts w:hint="eastAsia" w:ascii="仿宋_GB2312" w:hAnsi="仿宋_GB2312" w:cs="仿宋_GB2312"/>
          <w:szCs w:val="32"/>
        </w:rPr>
      </w:pPr>
      <w:r>
        <w:rPr>
          <w:rFonts w:hint="eastAsia" w:ascii="仿宋_GB2312" w:hAnsi="仿宋_GB2312" w:cs="仿宋_GB2312"/>
          <w:szCs w:val="32"/>
        </w:rPr>
        <w:t>当年财政补助能按时、按需及时拨付到位。</w:t>
      </w:r>
    </w:p>
    <w:p>
      <w:pPr>
        <w:spacing w:line="540" w:lineRule="exact"/>
        <w:ind w:firstLine="640" w:firstLineChars="200"/>
        <w:outlineLvl w:val="0"/>
        <w:rPr>
          <w:rFonts w:ascii="仿宋_GB2312" w:hAnsi="仿宋_GB2312" w:cs="仿宋_GB2312"/>
          <w:szCs w:val="32"/>
        </w:rPr>
      </w:pPr>
      <w:r>
        <w:rPr>
          <w:rFonts w:hint="eastAsia" w:ascii="仿宋_GB2312" w:hAnsi="仿宋_GB2312" w:cs="仿宋_GB2312"/>
          <w:szCs w:val="32"/>
        </w:rPr>
        <w:t>（四）项目效益情况。</w:t>
      </w:r>
    </w:p>
    <w:p>
      <w:pPr>
        <w:spacing w:line="540" w:lineRule="exact"/>
        <w:ind w:left="602" w:leftChars="188" w:firstLine="640" w:firstLineChars="200"/>
        <w:outlineLvl w:val="0"/>
        <w:rPr>
          <w:rFonts w:hint="eastAsia" w:ascii="仿宋_GB2312" w:hAnsi="仿宋_GB2312" w:cs="仿宋_GB2312"/>
          <w:szCs w:val="32"/>
        </w:rPr>
      </w:pPr>
      <w:r>
        <w:rPr>
          <w:rFonts w:hint="eastAsia" w:ascii="仿宋_GB2312" w:hAnsi="仿宋_GB2312" w:cs="仿宋_GB2312"/>
          <w:szCs w:val="32"/>
        </w:rPr>
        <w:t>1、可持续发展效益</w:t>
      </w:r>
    </w:p>
    <w:p>
      <w:pPr>
        <w:spacing w:line="540" w:lineRule="exact"/>
        <w:ind w:left="600"/>
        <w:outlineLvl w:val="0"/>
        <w:rPr>
          <w:rFonts w:ascii="仿宋_GB2312" w:hAnsi="仿宋_GB2312" w:cs="仿宋_GB2312"/>
          <w:szCs w:val="32"/>
        </w:rPr>
      </w:pPr>
      <w:r>
        <w:rPr>
          <w:rFonts w:hint="eastAsia" w:ascii="仿宋_GB2312" w:hAnsi="仿宋_GB2312" w:cs="仿宋_GB2312"/>
          <w:szCs w:val="32"/>
        </w:rPr>
        <w:t>对健全完整的医疗保障体系成效明显。保障了广大群众的基本医疗需求。</w:t>
      </w:r>
    </w:p>
    <w:p>
      <w:pPr>
        <w:spacing w:line="540" w:lineRule="exact"/>
        <w:ind w:left="602" w:leftChars="188" w:firstLine="640" w:firstLineChars="200"/>
        <w:outlineLvl w:val="0"/>
        <w:rPr>
          <w:rFonts w:ascii="仿宋_GB2312" w:hAnsi="仿宋_GB2312" w:cs="仿宋_GB2312"/>
          <w:szCs w:val="32"/>
        </w:rPr>
      </w:pPr>
      <w:r>
        <w:rPr>
          <w:rFonts w:hint="eastAsia" w:ascii="仿宋_GB2312" w:hAnsi="仿宋_GB2312" w:cs="仿宋_GB2312"/>
          <w:szCs w:val="32"/>
        </w:rPr>
        <w:t>2、社会效益指标：通过城乡居民基本医疗项目实施，有效缓解居民看病贵和因病致贫问题。一定程度上促进社会和谐稳定。</w:t>
      </w:r>
    </w:p>
    <w:p>
      <w:pPr>
        <w:spacing w:line="540" w:lineRule="exact"/>
        <w:ind w:left="600"/>
        <w:outlineLvl w:val="0"/>
        <w:rPr>
          <w:rFonts w:ascii="仿宋_GB2312" w:hAnsi="仿宋_GB2312" w:cs="仿宋_GB2312"/>
          <w:szCs w:val="32"/>
        </w:rPr>
      </w:pPr>
    </w:p>
    <w:p>
      <w:pPr>
        <w:spacing w:line="540" w:lineRule="exact"/>
        <w:ind w:left="602" w:leftChars="188" w:firstLine="640" w:firstLineChars="200"/>
        <w:outlineLvl w:val="0"/>
        <w:rPr>
          <w:rFonts w:ascii="仿宋_GB2312" w:hAnsi="仿宋_GB2312" w:cs="仿宋_GB2312"/>
          <w:szCs w:val="32"/>
        </w:rPr>
      </w:pPr>
      <w:r>
        <w:rPr>
          <w:rFonts w:hint="eastAsia" w:ascii="仿宋_GB2312" w:hAnsi="仿宋_GB2312" w:cs="仿宋_GB2312"/>
          <w:szCs w:val="32"/>
        </w:rPr>
        <w:t>3、服务对象满意度：五河县医保局通过医保业务办理窗口以问询等形式对参保对象进行满意度进行调查，参保对象对居民医保政策、医保经办和服务的满意度达到85%以上。</w:t>
      </w:r>
    </w:p>
    <w:p>
      <w:pPr>
        <w:spacing w:line="540" w:lineRule="exact"/>
        <w:ind w:left="600"/>
        <w:outlineLvl w:val="0"/>
        <w:rPr>
          <w:rFonts w:ascii="仿宋_GB2312" w:hAnsi="仿宋_GB2312" w:cs="仿宋_GB2312"/>
          <w:szCs w:val="32"/>
        </w:rPr>
      </w:pPr>
      <w:r>
        <w:rPr>
          <w:rFonts w:hint="eastAsia" w:ascii="仿宋_GB2312" w:hAnsi="仿宋_GB2312" w:cs="仿宋_GB2312"/>
          <w:szCs w:val="32"/>
        </w:rPr>
        <w:t>每年城乡居民</w:t>
      </w:r>
      <w:r>
        <w:rPr>
          <w:rFonts w:hint="eastAsia" w:ascii="宋体" w:hAnsi="宋体" w:eastAsia="宋体" w:cs="宋体"/>
          <w:szCs w:val="32"/>
        </w:rPr>
        <w:t>医保参保</w:t>
      </w:r>
      <w:r>
        <w:rPr>
          <w:rFonts w:hint="eastAsia" w:ascii="仿宋_GB2312" w:hAnsi="仿宋_GB2312" w:cs="仿宋_GB2312"/>
          <w:szCs w:val="32"/>
        </w:rPr>
        <w:t>前我们都要进行宣传，通过短信、融媒体及微信等方式大力宣传医保缴费、医保政策、贫困人人口报销及城乡医疗救助等民生工程政策，使参保者普遍知晓。</w:t>
      </w:r>
    </w:p>
    <w:p>
      <w:pPr>
        <w:pStyle w:val="10"/>
        <w:numPr>
          <w:ilvl w:val="0"/>
          <w:numId w:val="3"/>
        </w:numPr>
        <w:spacing w:line="540" w:lineRule="exact"/>
        <w:ind w:firstLineChars="0"/>
        <w:outlineLvl w:val="0"/>
        <w:rPr>
          <w:rFonts w:ascii="黑体" w:hAnsi="黑体" w:eastAsia="黑体" w:cs="黑体"/>
          <w:szCs w:val="32"/>
        </w:rPr>
      </w:pPr>
      <w:r>
        <w:rPr>
          <w:rFonts w:hint="eastAsia" w:ascii="黑体" w:hAnsi="黑体" w:eastAsia="黑体" w:cs="黑体"/>
          <w:szCs w:val="32"/>
        </w:rPr>
        <w:t>主要经验及做法</w:t>
      </w:r>
    </w:p>
    <w:p>
      <w:pPr>
        <w:tabs>
          <w:tab w:val="left" w:pos="500"/>
        </w:tabs>
        <w:spacing w:line="560" w:lineRule="exact"/>
        <w:ind w:left="600"/>
        <w:jc w:val="left"/>
        <w:rPr>
          <w:rFonts w:hint="eastAsia" w:ascii="仿宋_GB2312" w:hAnsi="仿宋"/>
          <w:color w:val="000000" w:themeColor="text1"/>
          <w:szCs w:val="32"/>
        </w:rPr>
      </w:pPr>
      <w:r>
        <w:rPr>
          <w:rFonts w:hint="eastAsia" w:ascii="仿宋_GB2312" w:hAnsi="仿宋"/>
          <w:color w:val="000000" w:themeColor="text1"/>
          <w:szCs w:val="32"/>
        </w:rPr>
        <w:t>一是建立健全机制，为全面推进城乡居民医保政策落实，</w:t>
      </w:r>
    </w:p>
    <w:p>
      <w:pPr>
        <w:tabs>
          <w:tab w:val="left" w:pos="500"/>
        </w:tabs>
        <w:spacing w:line="560" w:lineRule="exact"/>
        <w:jc w:val="left"/>
        <w:rPr>
          <w:rFonts w:ascii="仿宋_GB2312" w:hAnsi="仿宋"/>
          <w:color w:val="000000" w:themeColor="text1"/>
          <w:szCs w:val="32"/>
        </w:rPr>
      </w:pPr>
      <w:r>
        <w:rPr>
          <w:rFonts w:hint="eastAsia" w:ascii="仿宋_GB2312" w:hAnsi="仿宋"/>
          <w:color w:val="000000" w:themeColor="text1"/>
          <w:szCs w:val="32"/>
        </w:rPr>
        <w:t>提高参保率、政策知晓率，我局实行“事前、事中、事后”三项业务机制，加前“事前</w:t>
      </w:r>
      <w:r>
        <w:rPr>
          <w:rFonts w:ascii="仿宋_GB2312" w:hAnsi="仿宋"/>
          <w:color w:val="000000" w:themeColor="text1"/>
          <w:szCs w:val="32"/>
        </w:rPr>
        <w:t>”</w:t>
      </w:r>
      <w:r>
        <w:rPr>
          <w:rFonts w:hint="eastAsia" w:ascii="仿宋_GB2312" w:hAnsi="仿宋"/>
          <w:color w:val="000000" w:themeColor="text1"/>
          <w:szCs w:val="32"/>
        </w:rPr>
        <w:t>城乡居民医保政策宣传、落实“事中</w:t>
      </w:r>
      <w:r>
        <w:rPr>
          <w:rFonts w:ascii="仿宋_GB2312" w:hAnsi="仿宋"/>
          <w:color w:val="000000" w:themeColor="text1"/>
          <w:szCs w:val="32"/>
        </w:rPr>
        <w:t>”</w:t>
      </w:r>
      <w:r>
        <w:rPr>
          <w:rFonts w:hint="eastAsia" w:ascii="仿宋_GB2312" w:hAnsi="仿宋"/>
          <w:color w:val="000000" w:themeColor="text1"/>
          <w:szCs w:val="32"/>
        </w:rPr>
        <w:t>业务办理、强化</w:t>
      </w:r>
      <w:r>
        <w:rPr>
          <w:rFonts w:ascii="仿宋_GB2312" w:hAnsi="仿宋"/>
          <w:color w:val="000000" w:themeColor="text1"/>
          <w:szCs w:val="32"/>
        </w:rPr>
        <w:t>“</w:t>
      </w:r>
      <w:r>
        <w:rPr>
          <w:rFonts w:hint="eastAsia" w:ascii="仿宋_GB2312" w:hAnsi="仿宋"/>
          <w:color w:val="000000" w:themeColor="text1"/>
          <w:szCs w:val="32"/>
        </w:rPr>
        <w:t xml:space="preserve">事后”业务监督，切实提高参保群众满意度。 </w:t>
      </w:r>
    </w:p>
    <w:p>
      <w:pPr>
        <w:tabs>
          <w:tab w:val="left" w:pos="500"/>
        </w:tabs>
        <w:spacing w:line="560" w:lineRule="exact"/>
        <w:ind w:firstLine="640" w:firstLineChars="200"/>
        <w:rPr>
          <w:rFonts w:ascii="仿宋_GB2312" w:hAnsi="仿宋"/>
          <w:color w:val="000000" w:themeColor="text1"/>
          <w:szCs w:val="32"/>
        </w:rPr>
      </w:pPr>
      <w:r>
        <w:rPr>
          <w:rFonts w:hint="eastAsia" w:ascii="仿宋_GB2312" w:hAnsi="仿宋"/>
          <w:color w:val="000000" w:themeColor="text1"/>
          <w:szCs w:val="32"/>
        </w:rPr>
        <w:t xml:space="preserve">二是建立沟通协调机制，加强与有关部门沟通协调，解决城乡居民参保缴费、困难群体救助、报销等环节出现的问题，医保惠民政策落实到位，强化群众监督机制。 </w:t>
      </w:r>
    </w:p>
    <w:p>
      <w:pPr>
        <w:spacing w:line="540" w:lineRule="exact"/>
        <w:ind w:left="600"/>
        <w:rPr>
          <w:rFonts w:ascii="黑体" w:hAnsi="黑体" w:eastAsia="黑体" w:cs="黑体"/>
          <w:szCs w:val="32"/>
        </w:rPr>
      </w:pPr>
      <w:r>
        <w:rPr>
          <w:rFonts w:hint="eastAsia" w:ascii="黑体" w:hAnsi="黑体" w:eastAsia="黑体" w:cs="黑体"/>
          <w:szCs w:val="32"/>
          <w:highlight w:val="lightGray"/>
        </w:rPr>
        <w:t>六、</w:t>
      </w:r>
      <w:r>
        <w:rPr>
          <w:rFonts w:hint="eastAsia" w:ascii="黑体" w:hAnsi="黑体" w:eastAsia="黑体" w:cs="黑体"/>
          <w:szCs w:val="32"/>
        </w:rPr>
        <w:t>存在问题及原因分析</w:t>
      </w:r>
    </w:p>
    <w:p>
      <w:pPr>
        <w:spacing w:line="540" w:lineRule="exact"/>
        <w:ind w:left="600"/>
        <w:rPr>
          <w:rFonts w:ascii="仿宋" w:hAnsi="仿宋" w:eastAsia="仿宋" w:cs="黑体"/>
          <w:szCs w:val="32"/>
        </w:rPr>
      </w:pPr>
      <w:r>
        <w:rPr>
          <w:rFonts w:hint="eastAsia" w:ascii="仿宋" w:hAnsi="仿宋" w:eastAsia="仿宋" w:cs="黑体"/>
          <w:szCs w:val="32"/>
        </w:rPr>
        <w:t>一是目前本地城乡居民医保参保未达到应保尽保，除部分人员外地参保外，主要是人员对医保参保重要性认识不足，存在侥幸心理，不愿参保。二是由于区域内医疗机构服务水平不高，参保人员市外就诊需求高；部分医疗机构门诊转住院、挂床住院，不合理用药、不合理检查等，加大了医疗费用和基金报销支出，造成基金运行收支平衡压力增加。</w:t>
      </w:r>
      <w:r>
        <w:rPr>
          <w:rFonts w:ascii="仿宋" w:hAnsi="仿宋" w:eastAsia="仿宋" w:cs="黑体"/>
          <w:szCs w:val="32"/>
        </w:rPr>
        <w:t xml:space="preserve"> </w:t>
      </w:r>
    </w:p>
    <w:p>
      <w:pPr>
        <w:spacing w:line="540" w:lineRule="exact"/>
        <w:ind w:firstLine="640" w:firstLineChars="200"/>
        <w:rPr>
          <w:rFonts w:ascii="仿宋" w:hAnsi="仿宋" w:eastAsia="仿宋" w:cs="黑体"/>
          <w:szCs w:val="32"/>
        </w:rPr>
      </w:pPr>
      <w:r>
        <w:rPr>
          <w:rFonts w:hint="eastAsia" w:ascii="仿宋" w:hAnsi="仿宋" w:eastAsia="仿宋" w:cs="黑体"/>
          <w:szCs w:val="32"/>
        </w:rPr>
        <w:t>七、有关建议</w:t>
      </w:r>
    </w:p>
    <w:p>
      <w:pPr>
        <w:spacing w:line="540" w:lineRule="exact"/>
        <w:ind w:firstLine="601"/>
        <w:rPr>
          <w:rFonts w:ascii="仿宋" w:hAnsi="仿宋" w:eastAsia="仿宋" w:cs="黑体"/>
          <w:szCs w:val="32"/>
        </w:rPr>
      </w:pPr>
      <w:r>
        <w:rPr>
          <w:rFonts w:hint="eastAsia" w:ascii="仿宋" w:hAnsi="仿宋" w:eastAsia="仿宋" w:cs="黑体"/>
          <w:szCs w:val="32"/>
        </w:rPr>
        <w:t>加大对城乡居民参保政策宣传力度，通过基层对未参保人员情况进行摸排了解，针对存在的问题进行跟踪落实，确保符合参保条件人员应保尽保，避免因病致贫现象出现，切实减轻医药负担。加强对基金检查监管力度，规范医疗机构诊疗服务水平，严控不合理用药、不合理检查等诊疗服务内容。</w:t>
      </w:r>
    </w:p>
    <w:p>
      <w:pPr>
        <w:spacing w:line="540" w:lineRule="exact"/>
        <w:jc w:val="center"/>
        <w:rPr>
          <w:rFonts w:ascii="黑体" w:hAnsi="黑体"/>
          <w:color w:val="000000" w:themeColor="text1"/>
          <w:sz w:val="28"/>
          <w:szCs w:val="28"/>
        </w:rPr>
        <w:sectPr>
          <w:pgSz w:w="11906" w:h="16838"/>
          <w:pgMar w:top="1440" w:right="1800" w:bottom="1440" w:left="1800" w:header="851" w:footer="992" w:gutter="0"/>
          <w:cols w:space="425" w:num="1"/>
          <w:docGrid w:type="lines" w:linePitch="312" w:charSpace="0"/>
        </w:sectPr>
      </w:pPr>
      <w:r>
        <w:rPr>
          <w:rFonts w:hint="eastAsia" w:ascii="仿宋_GB2312" w:hAnsi="黑体" w:cs="黑体"/>
          <w:szCs w:val="32"/>
        </w:rPr>
        <w:t>附件：项目支出绩效评价指标体系框架</w:t>
      </w:r>
    </w:p>
    <w:p>
      <w:pPr>
        <w:rPr>
          <w:rFonts w:ascii="黑体" w:hAnsi="黑体" w:eastAsia="黑体"/>
          <w:color w:val="000000" w:themeColor="text1"/>
          <w:sz w:val="28"/>
          <w:szCs w:val="28"/>
        </w:rPr>
      </w:pPr>
      <w:r>
        <w:rPr>
          <w:rFonts w:hint="eastAsia" w:ascii="黑体" w:hAnsi="黑体" w:eastAsia="黑体"/>
          <w:color w:val="000000" w:themeColor="text1"/>
          <w:sz w:val="28"/>
          <w:szCs w:val="28"/>
        </w:rPr>
        <w:t>附件</w:t>
      </w:r>
    </w:p>
    <w:p>
      <w:pPr>
        <w:pStyle w:val="2"/>
        <w:spacing w:before="0" w:after="0" w:line="240" w:lineRule="auto"/>
        <w:jc w:val="center"/>
        <w:rPr>
          <w:rFonts w:ascii="方正小标宋简体" w:hAnsi="宋体" w:eastAsia="方正小标宋简体" w:cs="宋体"/>
          <w:b w:val="0"/>
          <w:bCs/>
          <w:color w:val="000000" w:themeColor="text1"/>
          <w:sz w:val="44"/>
          <w:szCs w:val="44"/>
        </w:rPr>
      </w:pPr>
      <w:r>
        <w:rPr>
          <w:rFonts w:hint="eastAsia" w:ascii="方正小标宋简体" w:hAnsi="宋体" w:eastAsia="方正小标宋简体" w:cs="宋体"/>
          <w:b w:val="0"/>
          <w:bCs/>
          <w:color w:val="000000" w:themeColor="text1"/>
          <w:sz w:val="44"/>
          <w:szCs w:val="44"/>
        </w:rPr>
        <w:t>项目支出绩效评价指标体系框架</w:t>
      </w:r>
    </w:p>
    <w:p>
      <w:pPr>
        <w:pStyle w:val="2"/>
        <w:spacing w:before="0" w:after="0" w:line="240" w:lineRule="auto"/>
        <w:jc w:val="center"/>
        <w:rPr>
          <w:bCs/>
          <w:color w:val="000000" w:themeColor="text1"/>
        </w:rPr>
      </w:pPr>
    </w:p>
    <w:tbl>
      <w:tblPr>
        <w:tblStyle w:val="6"/>
        <w:tblW w:w="136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szCs w:val="22"/>
              </w:rPr>
            </w:pPr>
            <w:r>
              <w:rPr>
                <w:rFonts w:hint="eastAsia" w:ascii="宋体" w:hAnsi="宋体" w:eastAsia="宋体" w:cs="宋体"/>
                <w:b/>
                <w:bCs/>
                <w:color w:val="000000" w:themeColor="text1"/>
                <w:kern w:val="0"/>
                <w:sz w:val="22"/>
                <w:szCs w:val="22"/>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szCs w:val="22"/>
              </w:rPr>
            </w:pPr>
            <w:r>
              <w:rPr>
                <w:rFonts w:hint="eastAsia" w:ascii="宋体" w:hAnsi="宋体" w:eastAsia="宋体" w:cs="宋体"/>
                <w:b/>
                <w:bCs/>
                <w:color w:val="000000" w:themeColor="text1"/>
                <w:kern w:val="0"/>
                <w:sz w:val="22"/>
                <w:szCs w:val="22"/>
              </w:rPr>
              <w:t>二级指标</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szCs w:val="22"/>
              </w:rPr>
            </w:pPr>
            <w:r>
              <w:rPr>
                <w:rFonts w:hint="eastAsia" w:ascii="宋体" w:hAnsi="宋体" w:eastAsia="宋体" w:cs="宋体"/>
                <w:b/>
                <w:bCs/>
                <w:color w:val="000000" w:themeColor="text1"/>
                <w:kern w:val="0"/>
                <w:sz w:val="22"/>
                <w:szCs w:val="22"/>
              </w:rPr>
              <w:t>三级指标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szCs w:val="22"/>
              </w:rPr>
            </w:pPr>
            <w:r>
              <w:rPr>
                <w:rFonts w:hint="eastAsia" w:ascii="宋体" w:hAnsi="宋体" w:eastAsia="宋体" w:cs="宋体"/>
                <w:b/>
                <w:bCs/>
                <w:color w:val="000000" w:themeColor="text1"/>
                <w:kern w:val="0"/>
                <w:sz w:val="22"/>
                <w:szCs w:val="22"/>
              </w:rPr>
              <w:t>指标解释</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szCs w:val="22"/>
              </w:rPr>
            </w:pPr>
            <w:r>
              <w:rPr>
                <w:rFonts w:hint="eastAsia" w:ascii="宋体" w:hAnsi="宋体" w:eastAsia="宋体" w:cs="宋体"/>
                <w:b/>
                <w:bCs/>
                <w:color w:val="000000" w:themeColor="text1"/>
                <w:kern w:val="0"/>
                <w:sz w:val="22"/>
                <w:szCs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决策　</w:t>
            </w: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　</w:t>
            </w:r>
          </w:p>
          <w:p>
            <w:pPr>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项目立项　</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立项依据</w:t>
            </w: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充分性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项目立项（主体</w:t>
            </w:r>
            <w:r>
              <w:rPr>
                <w:rFonts w:ascii="宋体" w:hAnsi="宋体" w:eastAsia="宋体" w:cs="宋体"/>
                <w:color w:val="000000" w:themeColor="text1"/>
                <w:kern w:val="0"/>
                <w:sz w:val="22"/>
                <w:szCs w:val="22"/>
              </w:rPr>
              <w:t>是</w:t>
            </w:r>
            <w:r>
              <w:rPr>
                <w:rFonts w:hint="eastAsia" w:ascii="宋体" w:hAnsi="宋体" w:eastAsia="宋体" w:cs="宋体"/>
                <w:color w:val="000000" w:themeColor="text1"/>
                <w:kern w:val="0"/>
                <w:sz w:val="22"/>
                <w:szCs w:val="22"/>
              </w:rPr>
              <w:t>指</w:t>
            </w:r>
            <w:r>
              <w:rPr>
                <w:rFonts w:ascii="宋体" w:hAnsi="宋体" w:eastAsia="宋体" w:cs="宋体"/>
                <w:color w:val="000000" w:themeColor="text1"/>
                <w:kern w:val="0"/>
                <w:sz w:val="22"/>
                <w:szCs w:val="22"/>
              </w:rPr>
              <w:t>项目主管部门</w:t>
            </w:r>
            <w:r>
              <w:rPr>
                <w:rFonts w:hint="eastAsia" w:ascii="宋体" w:hAnsi="宋体" w:eastAsia="宋体" w:cs="宋体"/>
                <w:color w:val="000000" w:themeColor="text1"/>
                <w:kern w:val="0"/>
                <w:sz w:val="22"/>
                <w:szCs w:val="22"/>
              </w:rPr>
              <w:t>，</w:t>
            </w:r>
            <w:r>
              <w:rPr>
                <w:rFonts w:ascii="宋体" w:hAnsi="宋体" w:eastAsia="宋体" w:cs="宋体"/>
                <w:color w:val="000000" w:themeColor="text1"/>
                <w:kern w:val="0"/>
                <w:sz w:val="22"/>
                <w:szCs w:val="22"/>
              </w:rPr>
              <w:t>下同</w:t>
            </w:r>
            <w:r>
              <w:rPr>
                <w:rFonts w:hint="eastAsia" w:ascii="宋体" w:hAnsi="宋体" w:eastAsia="宋体" w:cs="宋体"/>
                <w:color w:val="000000" w:themeColor="text1"/>
                <w:kern w:val="0"/>
                <w:sz w:val="22"/>
                <w:szCs w:val="22"/>
              </w:rPr>
              <w:t>）是否符合法律法规、相关政策、发展规划以及部门职责，用以反映和考核项目立项依据情况。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评价要点：</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①项目立项是否符合国家法律法规、国民经济发展规划和相关政策；</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②项目立项是否符合行业发展规划和政策要求；</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③项目立项是否与部门职责范围相符，属于部门履职所需；</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④项目是否属于公共财政支持范围，是否符合市</w:t>
            </w:r>
            <w:r>
              <w:rPr>
                <w:rFonts w:ascii="宋体" w:hAnsi="宋体" w:eastAsia="宋体" w:cs="宋体"/>
                <w:color w:val="000000" w:themeColor="text1"/>
                <w:kern w:val="0"/>
                <w:sz w:val="22"/>
                <w:szCs w:val="22"/>
              </w:rPr>
              <w:t>与</w:t>
            </w:r>
            <w:r>
              <w:rPr>
                <w:rFonts w:hint="eastAsia" w:ascii="宋体" w:hAnsi="宋体" w:eastAsia="宋体" w:cs="宋体"/>
                <w:color w:val="000000" w:themeColor="text1"/>
                <w:kern w:val="0"/>
                <w:sz w:val="22"/>
                <w:szCs w:val="22"/>
              </w:rPr>
              <w:t>县区财政事权与支出责任相适应原则；</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立项程序</w:t>
            </w: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规范性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项目申请、设立过程是否符合相关要求，用以反映和考核项目立项的规范情况。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评价要点：</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①项目是否按照规定的程序申请设立；</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②审批文件、材料是否符合相关要求；</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绩效目标　</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绩效目标</w:t>
            </w: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合理性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项目所设定的绩效目标是否依据充分，是否符合客观实际，用以反映和考核项目绩效目标与项目实施的相符情况。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评价要点：</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（如未设定预算绩效目标，也可考核其他工作任务目标）</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①项目是否有绩效目标；</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②项目绩效目标与实际工作内容是否具有相关性；</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③项目预期产出效益和效果是否符合正常的业绩水平；</w:t>
            </w:r>
          </w:p>
          <w:p>
            <w:pPr>
              <w:widowControl/>
              <w:spacing w:line="0" w:lineRule="atLeast"/>
              <w:jc w:val="lef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绩效目标</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绩效指标</w:t>
            </w: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明确性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依据绩效目标设定的绩效指标是否清晰、细化、可衡量等，用以反映和考核项目绩效目标的明细化情况。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评价要点：</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①是否将项目绩效目标细化分解为具体的绩效指标；</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②是否通过清晰、可衡量的指标值予以体现；</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③是否与项目目标任务数或计划数相对应。</w:t>
            </w:r>
            <w:r>
              <w:rPr>
                <w:rFonts w:hint="eastAsia" w:ascii="宋体" w:hAnsi="宋体" w:eastAsia="宋体" w:cs="宋体"/>
                <w:color w:val="000000" w:themeColor="text1"/>
                <w:kern w:val="0"/>
                <w:sz w:val="22"/>
                <w:szCs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资金投入</w:t>
            </w:r>
          </w:p>
          <w:p>
            <w:pPr>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　</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预算编制</w:t>
            </w: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科学性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项目预算编制（主体</w:t>
            </w:r>
            <w:r>
              <w:rPr>
                <w:rFonts w:ascii="宋体" w:hAnsi="宋体" w:eastAsia="宋体" w:cs="宋体"/>
                <w:color w:val="000000" w:themeColor="text1"/>
                <w:kern w:val="0"/>
                <w:sz w:val="22"/>
                <w:szCs w:val="22"/>
              </w:rPr>
              <w:t>是</w:t>
            </w:r>
            <w:r>
              <w:rPr>
                <w:rFonts w:hint="eastAsia" w:ascii="宋体" w:hAnsi="宋体" w:eastAsia="宋体" w:cs="宋体"/>
                <w:color w:val="000000" w:themeColor="text1"/>
                <w:kern w:val="0"/>
                <w:sz w:val="22"/>
                <w:szCs w:val="22"/>
              </w:rPr>
              <w:t>指</w:t>
            </w:r>
            <w:r>
              <w:rPr>
                <w:rFonts w:ascii="宋体" w:hAnsi="宋体" w:eastAsia="宋体" w:cs="宋体"/>
                <w:color w:val="000000" w:themeColor="text1"/>
                <w:kern w:val="0"/>
                <w:sz w:val="22"/>
                <w:szCs w:val="22"/>
              </w:rPr>
              <w:t>项目资金管理使用单位，下同</w:t>
            </w:r>
            <w:r>
              <w:rPr>
                <w:rFonts w:hint="eastAsia" w:ascii="宋体" w:hAnsi="宋体" w:eastAsia="宋体" w:cs="宋体"/>
                <w:color w:val="000000" w:themeColor="text1"/>
                <w:kern w:val="0"/>
                <w:sz w:val="22"/>
                <w:szCs w:val="22"/>
              </w:rPr>
              <w:t>）是否经过科学论证、有明确标准，资金额度与年度目标是否相适应，用以反映和考核项目预算编制的科学性、合理性情况。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评价要点：</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①预算编制是否经过科学论证；</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②预算内容与项目内容是否匹配；</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③预算额度测算依据是否充分，是否按照标准编制；</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资金分配</w:t>
            </w: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合理性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项目预算资金分配是否有测算依据，与补助单位或地方实际是否相适应，用以反映和考核项目预算资金分配的科学性、合理性情况。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评价要点：</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①预算资金分配依据是否充分；</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②预算资金分配额度是否合理，与项目单位或地方实际是否相适应。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right w:val="single" w:color="000000" w:sz="8" w:space="0"/>
            </w:tcBorders>
            <w:shd w:val="clear" w:color="auto" w:fill="FFFFFF"/>
            <w:vAlign w:val="center"/>
          </w:tcPr>
          <w:p>
            <w:pPr>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过程</w:t>
            </w:r>
          </w:p>
          <w:p>
            <w:pPr>
              <w:widowControl/>
              <w:spacing w:line="0" w:lineRule="atLeast"/>
              <w:jc w:val="center"/>
              <w:rPr>
                <w:rFonts w:ascii="宋体" w:hAnsi="宋体" w:eastAsia="宋体" w:cs="宋体"/>
                <w:color w:val="000000" w:themeColor="text1"/>
                <w:kern w:val="0"/>
                <w:sz w:val="22"/>
                <w:szCs w:val="22"/>
              </w:rPr>
            </w:pP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　</w:t>
            </w:r>
          </w:p>
          <w:p>
            <w:pPr>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资金管理</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资金到位率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实际到位资金与预算资金的比率，用以反映和考核资金落实情况对项目实施的总体保障程度。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资金到位率=（实际到位资金/预算资金）×100%。</w:t>
            </w:r>
          </w:p>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实际到位资金：一定时期（本年度或项目期）内落实到具体项目的资金。</w:t>
            </w:r>
          </w:p>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tcBorders>
              <w:left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资金</w:t>
            </w:r>
            <w:r>
              <w:rPr>
                <w:rFonts w:ascii="宋体" w:hAnsi="宋体" w:eastAsia="宋体" w:cs="宋体"/>
                <w:color w:val="000000" w:themeColor="text1"/>
                <w:kern w:val="0"/>
                <w:sz w:val="22"/>
                <w:szCs w:val="22"/>
              </w:rPr>
              <w:t>拨付及时性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项目资金是否按照依法依规及时拨付，用以反映和考核项目资金</w:t>
            </w:r>
            <w:r>
              <w:rPr>
                <w:rFonts w:ascii="宋体" w:hAnsi="宋体" w:eastAsia="宋体" w:cs="宋体"/>
                <w:color w:val="000000" w:themeColor="text1"/>
                <w:kern w:val="0"/>
                <w:sz w:val="22"/>
                <w:szCs w:val="22"/>
              </w:rPr>
              <w:t>拨付</w:t>
            </w:r>
            <w:r>
              <w:rPr>
                <w:rFonts w:hint="eastAsia" w:ascii="宋体" w:hAnsi="宋体" w:eastAsia="宋体" w:cs="宋体"/>
                <w:color w:val="000000" w:themeColor="text1"/>
                <w:kern w:val="0"/>
                <w:sz w:val="22"/>
                <w:szCs w:val="22"/>
              </w:rPr>
              <w:t>时效情况。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项目资金是否按照《</w:t>
            </w:r>
            <w:r>
              <w:rPr>
                <w:rFonts w:ascii="宋体" w:hAnsi="宋体" w:eastAsia="宋体" w:cs="宋体"/>
                <w:color w:val="000000" w:themeColor="text1"/>
                <w:kern w:val="0"/>
                <w:sz w:val="22"/>
                <w:szCs w:val="22"/>
              </w:rPr>
              <w:t>预算法</w:t>
            </w:r>
            <w:r>
              <w:rPr>
                <w:rFonts w:hint="eastAsia" w:ascii="宋体" w:hAnsi="宋体" w:eastAsia="宋体" w:cs="宋体"/>
                <w:color w:val="000000" w:themeColor="text1"/>
                <w:kern w:val="0"/>
                <w:sz w:val="22"/>
                <w:szCs w:val="22"/>
              </w:rPr>
              <w:t>》等</w:t>
            </w:r>
            <w:r>
              <w:rPr>
                <w:rFonts w:ascii="宋体" w:hAnsi="宋体" w:eastAsia="宋体" w:cs="宋体"/>
                <w:color w:val="000000" w:themeColor="text1"/>
                <w:kern w:val="0"/>
                <w:sz w:val="22"/>
                <w:szCs w:val="22"/>
              </w:rPr>
              <w:t>法律法规</w:t>
            </w:r>
            <w:r>
              <w:rPr>
                <w:rFonts w:hint="eastAsia" w:ascii="宋体" w:hAnsi="宋体" w:eastAsia="宋体" w:cs="宋体"/>
                <w:color w:val="000000" w:themeColor="text1"/>
                <w:kern w:val="0"/>
                <w:sz w:val="22"/>
                <w:szCs w:val="22"/>
              </w:rPr>
              <w:t>规定的期限内</w:t>
            </w:r>
            <w:r>
              <w:rPr>
                <w:rFonts w:ascii="宋体" w:hAnsi="宋体" w:eastAsia="宋体" w:cs="宋体"/>
                <w:color w:val="000000" w:themeColor="text1"/>
                <w:kern w:val="0"/>
                <w:sz w:val="22"/>
                <w:szCs w:val="22"/>
              </w:rPr>
              <w:t>分配下达，</w:t>
            </w:r>
            <w:r>
              <w:rPr>
                <w:rFonts w:hint="eastAsia" w:ascii="宋体" w:hAnsi="宋体" w:eastAsia="宋体" w:cs="宋体"/>
                <w:color w:val="000000" w:themeColor="text1"/>
                <w:kern w:val="0"/>
                <w:sz w:val="22"/>
                <w:szCs w:val="22"/>
              </w:rPr>
              <w:t>是否符合</w:t>
            </w:r>
            <w:r>
              <w:rPr>
                <w:rFonts w:ascii="宋体" w:hAnsi="宋体" w:eastAsia="宋体" w:cs="宋体"/>
                <w:color w:val="000000" w:themeColor="text1"/>
                <w:kern w:val="0"/>
                <w:sz w:val="22"/>
                <w:szCs w:val="22"/>
              </w:rPr>
              <w:t>项目</w:t>
            </w:r>
            <w:r>
              <w:rPr>
                <w:rFonts w:hint="eastAsia" w:ascii="宋体" w:hAnsi="宋体" w:eastAsia="宋体" w:cs="宋体"/>
                <w:color w:val="000000" w:themeColor="text1"/>
                <w:kern w:val="0"/>
                <w:sz w:val="22"/>
                <w:szCs w:val="22"/>
              </w:rPr>
              <w:t>资金</w:t>
            </w:r>
            <w:r>
              <w:rPr>
                <w:rFonts w:ascii="宋体" w:hAnsi="宋体" w:eastAsia="宋体" w:cs="宋体"/>
                <w:color w:val="000000" w:themeColor="text1"/>
                <w:kern w:val="0"/>
                <w:sz w:val="22"/>
                <w:szCs w:val="22"/>
              </w:rPr>
              <w:t>管理办法</w:t>
            </w:r>
            <w:r>
              <w:rPr>
                <w:rFonts w:hint="eastAsia" w:ascii="宋体" w:hAnsi="宋体" w:eastAsia="宋体" w:cs="宋体"/>
                <w:color w:val="000000" w:themeColor="text1"/>
                <w:kern w:val="0"/>
                <w:sz w:val="22"/>
                <w:szCs w:val="22"/>
              </w:rPr>
              <w:t>、</w:t>
            </w:r>
            <w:r>
              <w:rPr>
                <w:rFonts w:ascii="宋体" w:hAnsi="宋体" w:eastAsia="宋体" w:cs="宋体"/>
                <w:color w:val="000000" w:themeColor="text1"/>
                <w:kern w:val="0"/>
                <w:sz w:val="22"/>
                <w:szCs w:val="22"/>
              </w:rPr>
              <w:t>工作实施方案等明确的时限要求</w:t>
            </w:r>
            <w:r>
              <w:rPr>
                <w:rFonts w:hint="eastAsia" w:ascii="宋体" w:hAnsi="宋体" w:eastAsia="宋体" w:cs="宋体"/>
                <w:color w:val="000000" w:themeColor="text1"/>
                <w:kern w:val="0"/>
                <w:sz w:val="22"/>
                <w:szCs w:val="22"/>
              </w:rPr>
              <w:t>及时拨付。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62" w:hRule="atLeast"/>
          <w:jc w:val="center"/>
        </w:trPr>
        <w:tc>
          <w:tcPr>
            <w:tcW w:w="861" w:type="dxa"/>
            <w:vMerge w:val="continue"/>
            <w:tcBorders>
              <w:left w:val="single" w:color="000000" w:sz="8" w:space="0"/>
              <w:right w:val="single" w:color="000000" w:sz="8" w:space="0"/>
            </w:tcBorders>
            <w:shd w:val="clear" w:color="auto" w:fill="FFFFFF"/>
            <w:vAlign w:val="center"/>
          </w:tcPr>
          <w:p>
            <w:pPr>
              <w:spacing w:line="0" w:lineRule="atLeast"/>
              <w:jc w:val="center"/>
              <w:rPr>
                <w:rFonts w:ascii="宋体" w:hAnsi="宋体" w:eastAsia="宋体" w:cs="宋体"/>
                <w:color w:val="000000" w:themeColor="text1"/>
                <w:kern w:val="0"/>
                <w:sz w:val="22"/>
                <w:szCs w:val="22"/>
              </w:rPr>
            </w:pPr>
          </w:p>
        </w:tc>
        <w:tc>
          <w:tcPr>
            <w:tcW w:w="1199" w:type="dxa"/>
            <w:vMerge w:val="restart"/>
            <w:tcBorders>
              <w:top w:val="single" w:color="000000" w:sz="8" w:space="0"/>
              <w:left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资金</w:t>
            </w:r>
            <w:r>
              <w:rPr>
                <w:rFonts w:ascii="宋体" w:hAnsi="宋体" w:eastAsia="宋体" w:cs="宋体"/>
                <w:color w:val="000000" w:themeColor="text1"/>
                <w:kern w:val="0"/>
                <w:sz w:val="22"/>
                <w:szCs w:val="22"/>
              </w:rPr>
              <w:t>管理</w:t>
            </w:r>
          </w:p>
          <w:p>
            <w:pPr>
              <w:spacing w:line="0" w:lineRule="atLeast"/>
              <w:jc w:val="center"/>
              <w:rPr>
                <w:rFonts w:ascii="宋体" w:hAnsi="宋体" w:eastAsia="宋体" w:cs="宋体"/>
                <w:color w:val="000000" w:themeColor="text1"/>
                <w:kern w:val="0"/>
                <w:sz w:val="22"/>
                <w:szCs w:val="22"/>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预算执行率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项目预算资金是否按照计划执行，用以反映或考核项目预算执行情况。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预算执行率=（实际支出资金/实际到位资金）×100%。</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5" w:hRule="atLeast"/>
          <w:jc w:val="center"/>
        </w:trPr>
        <w:tc>
          <w:tcPr>
            <w:tcW w:w="861" w:type="dxa"/>
            <w:vMerge w:val="continue"/>
            <w:tcBorders>
              <w:left w:val="single" w:color="000000" w:sz="8" w:space="0"/>
              <w:right w:val="single" w:color="000000" w:sz="8" w:space="0"/>
            </w:tcBorders>
            <w:shd w:val="clear" w:color="auto" w:fill="FFFFFF"/>
            <w:vAlign w:val="center"/>
          </w:tcPr>
          <w:p>
            <w:pPr>
              <w:spacing w:line="0" w:lineRule="atLeast"/>
              <w:jc w:val="center"/>
              <w:rPr>
                <w:rFonts w:ascii="宋体" w:hAnsi="宋体" w:eastAsia="宋体" w:cs="宋体"/>
                <w:color w:val="000000" w:themeColor="text1"/>
                <w:kern w:val="0"/>
                <w:sz w:val="22"/>
                <w:szCs w:val="22"/>
              </w:rPr>
            </w:pPr>
          </w:p>
        </w:tc>
        <w:tc>
          <w:tcPr>
            <w:tcW w:w="1199" w:type="dxa"/>
            <w:vMerge w:val="continue"/>
            <w:tcBorders>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资金使用</w:t>
            </w: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合规性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项目资金使用是否符合相关的财务管理制度规定，用以反映和考核项目资金的规范运行情况。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评价要点：</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①是否符合国家财经法规和财务管理制度以及有关专项资金管理办法的规定；</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②资金的拨付是否有完整的审批程序和手续；</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③是否符合项目预算批复或合同规定的用途；</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861" w:type="dxa"/>
            <w:vMerge w:val="continue"/>
            <w:tcBorders>
              <w:left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组织实施</w:t>
            </w:r>
          </w:p>
          <w:p>
            <w:pPr>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　</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管理制度</w:t>
            </w: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健全性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项目实施单位的财务和业务管理制度是否健全，用以反映和考核财务和业务管理制度对项目顺利实施的保障情况。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评价要点：</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①是否已制定或具有相应的财务和业务管理制度；</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32" w:hRule="atLeast"/>
          <w:jc w:val="center"/>
        </w:trPr>
        <w:tc>
          <w:tcPr>
            <w:tcW w:w="861" w:type="dxa"/>
            <w:vMerge w:val="continue"/>
            <w:tcBorders>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制度执行</w:t>
            </w:r>
          </w:p>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有效性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项目实施是否符合相关管理规定，用以反映和考核相关管理制度的有效执行情况。</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评价要点：</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①是否遵守相关法律法规和相关管理规定；</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②项目调整及支出调整手续是否完备；</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③项目合同书、验收报告、技术鉴定等资料是否齐全并及时归档；</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vMerge w:val="restart"/>
            <w:tcBorders>
              <w:top w:val="single" w:color="000000" w:sz="8" w:space="0"/>
              <w:left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产出</w:t>
            </w:r>
          </w:p>
          <w:p>
            <w:pPr>
              <w:widowControl/>
              <w:spacing w:line="0" w:lineRule="atLeast"/>
              <w:jc w:val="center"/>
              <w:rPr>
                <w:rFonts w:ascii="宋体" w:hAnsi="宋体" w:eastAsia="宋体" w:cs="宋体"/>
                <w:color w:val="000000" w:themeColor="text1"/>
                <w:kern w:val="0"/>
                <w:sz w:val="22"/>
                <w:szCs w:val="22"/>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产出数量</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实际完成率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项目实施的实际产出数与计划产出数的比率，用以反映和考核项目产出数量目标的实现程度。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实际完成率=（实际产出数/计划产出数）×100%。</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实际产出数：一定时期（本年度或项目期）内项目实际产出的产品或提供的服务数量。</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continue"/>
            <w:tcBorders>
              <w:left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产出质量</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质量达标率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项目完成的质量达标产出数与实际产出数的比率，用以反映和考核项目产出质量目标的实现程度。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质量达标率=（质量达标产出数/实际产出数）×100%。</w:t>
            </w:r>
          </w:p>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tcBorders>
              <w:left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产出时效</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完成及时性</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项目实际完成时间与计划完成时间的比较，用以反映和考核项目产出时效目标的实现程度。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实际完成时间：项目实施单位完成该项目实际所耗用的时间。</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产出成本</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成本节约率</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完成项目计划工作目标的实际节约成本与计划成本的比率，用以反映和考核项目的成本节约程度。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成本节约率=[（计划成本-实际成本）/计划成本]×100%。</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实际成本：项目实施单位如期、保质、保量完成既定工作目标实际所耗费的支出。</w:t>
            </w:r>
            <w:r>
              <w:rPr>
                <w:rFonts w:hint="eastAsia" w:ascii="宋体" w:hAnsi="宋体" w:eastAsia="宋体" w:cs="宋体"/>
                <w:color w:val="000000" w:themeColor="text1"/>
                <w:kern w:val="0"/>
                <w:sz w:val="22"/>
                <w:szCs w:val="22"/>
              </w:rPr>
              <w:br w:type="textWrapping"/>
            </w:r>
            <w:r>
              <w:rPr>
                <w:rFonts w:hint="eastAsia" w:ascii="宋体" w:hAnsi="宋体" w:eastAsia="宋体" w:cs="宋体"/>
                <w:color w:val="000000" w:themeColor="text1"/>
                <w:kern w:val="0"/>
                <w:sz w:val="22"/>
                <w:szCs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项目效益　</w:t>
            </w: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实施效益</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项目实施所产生的效益。</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themeColor="text1"/>
                <w:kern w:val="0"/>
                <w:sz w:val="22"/>
                <w:szCs w:val="22"/>
              </w:rPr>
            </w:pPr>
          </w:p>
        </w:tc>
        <w:tc>
          <w:tcPr>
            <w:tcW w:w="141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满意度</w:t>
            </w:r>
          </w:p>
        </w:tc>
        <w:tc>
          <w:tcPr>
            <w:tcW w:w="278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社会公众或服务对象对项目实施效果的满意程度。</w:t>
            </w:r>
          </w:p>
        </w:tc>
        <w:tc>
          <w:tcPr>
            <w:tcW w:w="73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宋体" w:hAnsi="宋体" w:eastAsia="宋体" w:cs="宋体"/>
                <w:color w:val="000000" w:themeColor="text1"/>
                <w:kern w:val="0"/>
                <w:sz w:val="22"/>
                <w:szCs w:val="22"/>
              </w:rPr>
            </w:pPr>
            <w:r>
              <w:rPr>
                <w:rFonts w:hint="eastAsia" w:ascii="宋体" w:hAnsi="宋体" w:eastAsia="宋体" w:cs="宋体"/>
                <w:color w:val="000000" w:themeColor="text1"/>
                <w:kern w:val="0"/>
                <w:sz w:val="22"/>
                <w:szCs w:val="22"/>
              </w:rPr>
              <w:t>社会公众或服务对象是指因该项目实施而受到影响的部门（单位）、群体或个人。一般采取社会调查的方式。</w:t>
            </w:r>
          </w:p>
        </w:tc>
      </w:tr>
    </w:tbl>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方正小标宋_GBK">
    <w:altName w:val="Arial Unicode MS"/>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8529C7"/>
    <w:multiLevelType w:val="singleLevel"/>
    <w:tmpl w:val="DB8529C7"/>
    <w:lvl w:ilvl="0" w:tentative="0">
      <w:start w:val="1"/>
      <w:numFmt w:val="decimal"/>
      <w:suff w:val="nothing"/>
      <w:lvlText w:val="（%1）"/>
      <w:lvlJc w:val="left"/>
      <w:pPr>
        <w:ind w:left="640" w:firstLine="0"/>
      </w:pPr>
    </w:lvl>
  </w:abstractNum>
  <w:abstractNum w:abstractNumId="1">
    <w:nsid w:val="0C303774"/>
    <w:multiLevelType w:val="multilevel"/>
    <w:tmpl w:val="0C303774"/>
    <w:lvl w:ilvl="0" w:tentative="0">
      <w:start w:val="2"/>
      <w:numFmt w:val="japaneseCounting"/>
      <w:lvlText w:val="(%1）"/>
      <w:lvlJc w:val="left"/>
      <w:pPr>
        <w:ind w:left="1615" w:hanging="825"/>
      </w:pPr>
      <w:rPr>
        <w:rFonts w:hint="default"/>
      </w:rPr>
    </w:lvl>
    <w:lvl w:ilvl="1" w:tentative="0">
      <w:start w:val="1"/>
      <w:numFmt w:val="lowerLetter"/>
      <w:lvlText w:val="%2)"/>
      <w:lvlJc w:val="left"/>
      <w:pPr>
        <w:ind w:left="1630" w:hanging="420"/>
      </w:pPr>
    </w:lvl>
    <w:lvl w:ilvl="2" w:tentative="0">
      <w:start w:val="1"/>
      <w:numFmt w:val="lowerRoman"/>
      <w:lvlText w:val="%3."/>
      <w:lvlJc w:val="right"/>
      <w:pPr>
        <w:ind w:left="2050" w:hanging="420"/>
      </w:pPr>
    </w:lvl>
    <w:lvl w:ilvl="3" w:tentative="0">
      <w:start w:val="1"/>
      <w:numFmt w:val="decimal"/>
      <w:lvlText w:val="%4."/>
      <w:lvlJc w:val="left"/>
      <w:pPr>
        <w:ind w:left="2470" w:hanging="420"/>
      </w:pPr>
    </w:lvl>
    <w:lvl w:ilvl="4" w:tentative="0">
      <w:start w:val="1"/>
      <w:numFmt w:val="lowerLetter"/>
      <w:lvlText w:val="%5)"/>
      <w:lvlJc w:val="left"/>
      <w:pPr>
        <w:ind w:left="2890" w:hanging="420"/>
      </w:pPr>
    </w:lvl>
    <w:lvl w:ilvl="5" w:tentative="0">
      <w:start w:val="1"/>
      <w:numFmt w:val="lowerRoman"/>
      <w:lvlText w:val="%6."/>
      <w:lvlJc w:val="right"/>
      <w:pPr>
        <w:ind w:left="3310" w:hanging="420"/>
      </w:pPr>
    </w:lvl>
    <w:lvl w:ilvl="6" w:tentative="0">
      <w:start w:val="1"/>
      <w:numFmt w:val="decimal"/>
      <w:lvlText w:val="%7."/>
      <w:lvlJc w:val="left"/>
      <w:pPr>
        <w:ind w:left="3730" w:hanging="420"/>
      </w:pPr>
    </w:lvl>
    <w:lvl w:ilvl="7" w:tentative="0">
      <w:start w:val="1"/>
      <w:numFmt w:val="lowerLetter"/>
      <w:lvlText w:val="%8)"/>
      <w:lvlJc w:val="left"/>
      <w:pPr>
        <w:ind w:left="4150" w:hanging="420"/>
      </w:pPr>
    </w:lvl>
    <w:lvl w:ilvl="8" w:tentative="0">
      <w:start w:val="1"/>
      <w:numFmt w:val="lowerRoman"/>
      <w:lvlText w:val="%9."/>
      <w:lvlJc w:val="right"/>
      <w:pPr>
        <w:ind w:left="4570" w:hanging="420"/>
      </w:pPr>
    </w:lvl>
  </w:abstractNum>
  <w:abstractNum w:abstractNumId="2">
    <w:nsid w:val="3DA777B7"/>
    <w:multiLevelType w:val="singleLevel"/>
    <w:tmpl w:val="3DA777B7"/>
    <w:lvl w:ilvl="0" w:tentative="0">
      <w:start w:val="2"/>
      <w:numFmt w:val="chineseCounting"/>
      <w:suff w:val="nothing"/>
      <w:lvlText w:val="（%1）"/>
      <w:lvlJc w:val="left"/>
      <w:rPr>
        <w:rFonts w:hint="eastAsia"/>
      </w:rPr>
    </w:lvl>
  </w:abstractNum>
  <w:abstractNum w:abstractNumId="3">
    <w:nsid w:val="62E7119C"/>
    <w:multiLevelType w:val="multilevel"/>
    <w:tmpl w:val="62E7119C"/>
    <w:lvl w:ilvl="0" w:tentative="0">
      <w:start w:val="4"/>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hmZWJhZjQ0OWU4OWE1MGZjOWFhY2I1OTQ1Y2I3NjYifQ=="/>
  </w:docVars>
  <w:rsids>
    <w:rsidRoot w:val="7677AECF"/>
    <w:rsid w:val="00090B04"/>
    <w:rsid w:val="001026C7"/>
    <w:rsid w:val="00121A54"/>
    <w:rsid w:val="001D569C"/>
    <w:rsid w:val="002155E7"/>
    <w:rsid w:val="0024179B"/>
    <w:rsid w:val="00260A0F"/>
    <w:rsid w:val="00336DD3"/>
    <w:rsid w:val="00397C92"/>
    <w:rsid w:val="003D457B"/>
    <w:rsid w:val="004F0B8C"/>
    <w:rsid w:val="005A479D"/>
    <w:rsid w:val="00626CD9"/>
    <w:rsid w:val="006C5977"/>
    <w:rsid w:val="007F5420"/>
    <w:rsid w:val="00885E69"/>
    <w:rsid w:val="00C22B2D"/>
    <w:rsid w:val="00CC008E"/>
    <w:rsid w:val="00D547AB"/>
    <w:rsid w:val="00D7065D"/>
    <w:rsid w:val="00DD5180"/>
    <w:rsid w:val="00FB2568"/>
    <w:rsid w:val="00FF0E99"/>
    <w:rsid w:val="33305E94"/>
    <w:rsid w:val="6EBDBD0C"/>
    <w:rsid w:val="70696CF6"/>
    <w:rsid w:val="755792D5"/>
    <w:rsid w:val="7677AECF"/>
    <w:rsid w:val="B9FABF39"/>
    <w:rsid w:val="C7DB6D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2"/>
    <w:basedOn w:val="1"/>
    <w:next w:val="1"/>
    <w:unhideWhenUsed/>
    <w:qFormat/>
    <w:uiPriority w:val="0"/>
    <w:pPr>
      <w:keepNext/>
      <w:keepLines/>
      <w:spacing w:before="260" w:after="260" w:line="412" w:lineRule="auto"/>
      <w:outlineLvl w:val="1"/>
    </w:pPr>
    <w:rPr>
      <w:rFonts w:ascii="Arial" w:hAnsi="Arial" w:eastAsia="黑体"/>
      <w:b/>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autoRedefine/>
    <w:qFormat/>
    <w:uiPriority w:val="0"/>
    <w:pPr>
      <w:widowControl w:val="0"/>
      <w:tabs>
        <w:tab w:val="center" w:pos="4153"/>
        <w:tab w:val="right" w:pos="8306"/>
      </w:tabs>
      <w:snapToGrid w:val="0"/>
    </w:pPr>
    <w:rPr>
      <w:rFonts w:ascii="Times New Roman" w:hAnsi="Times New Roman" w:eastAsia="仿宋_GB2312" w:cs="Times New Roman"/>
      <w:kern w:val="2"/>
      <w:sz w:val="18"/>
      <w:lang w:val="en-US" w:eastAsia="zh-CN" w:bidi="ar-SA"/>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kern w:val="0"/>
      <w:sz w:val="24"/>
      <w:szCs w:val="24"/>
    </w:rPr>
  </w:style>
  <w:style w:type="character" w:styleId="8">
    <w:name w:val="page number"/>
    <w:qFormat/>
    <w:uiPriority w:val="0"/>
  </w:style>
  <w:style w:type="character" w:customStyle="1" w:styleId="9">
    <w:name w:val="页眉 Char"/>
    <w:basedOn w:val="7"/>
    <w:link w:val="4"/>
    <w:autoRedefine/>
    <w:qFormat/>
    <w:uiPriority w:val="0"/>
    <w:rPr>
      <w:rFonts w:ascii="Times New Roman" w:hAnsi="Times New Roman" w:eastAsia="仿宋_GB2312" w:cs="Times New Roman"/>
      <w:kern w:val="2"/>
      <w:sz w:val="18"/>
      <w:szCs w:val="18"/>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E4428-64A4-4D1B-BB32-D77A8ACCC4C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4714</Words>
  <Characters>350</Characters>
  <Lines>2</Lines>
  <Paragraphs>10</Paragraphs>
  <TotalTime>350</TotalTime>
  <ScaleCrop>false</ScaleCrop>
  <LinksUpToDate>false</LinksUpToDate>
  <CharactersWithSpaces>5054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2023-03-02T23:53:00Z</dcterms:created>
  <dc:creator>bbcz</dc:creator>
  <cp:lastModifiedBy>ASUS</cp:lastModifiedBy>
  <cp:lastPrinted>2023-03-07T16:15:00Z</cp:lastPrinted>
  <dcterms:modified xsi:type="dcterms:W3CDTF">2024-02-08T02:32:24Z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B1010A428E1248AD951DAECE1DA0A50E_12</vt:lpwstr>
  </property>
</Properties>
</file>